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50" w:rsidRDefault="00F57826" w:rsidP="00557A50">
      <w:pPr>
        <w:shd w:val="clear" w:color="auto" w:fill="FFFFFF"/>
        <w:jc w:val="center"/>
        <w:rPr>
          <w:rFonts w:eastAsiaTheme="minorEastAsia"/>
          <w:sz w:val="40"/>
          <w:szCs w:val="22"/>
          <w:lang w:eastAsia="zh-CN"/>
        </w:rPr>
      </w:pPr>
      <w:r w:rsidRPr="00796F25">
        <w:rPr>
          <w:rFonts w:eastAsiaTheme="minorEastAsia"/>
          <w:noProof/>
          <w:sz w:val="40"/>
          <w:szCs w:val="22"/>
        </w:rPr>
        <w:drawing>
          <wp:inline distT="0" distB="0" distL="0" distR="0">
            <wp:extent cx="1112079" cy="685800"/>
            <wp:effectExtent l="25400" t="0" r="552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63" cy="68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A50">
        <w:rPr>
          <w:rFonts w:eastAsiaTheme="minorEastAsia"/>
          <w:sz w:val="40"/>
          <w:szCs w:val="22"/>
          <w:lang w:eastAsia="zh-CN"/>
        </w:rPr>
        <w:t>3FastGeno</w:t>
      </w:r>
      <w:r w:rsidR="00557A50" w:rsidRPr="000611B8">
        <w:rPr>
          <w:rFonts w:eastAsiaTheme="minorEastAsia"/>
          <w:sz w:val="40"/>
          <w:szCs w:val="22"/>
          <w:vertAlign w:val="superscript"/>
          <w:lang w:eastAsia="zh-CN"/>
        </w:rPr>
        <w:t>TM</w:t>
      </w:r>
      <w:r w:rsidR="00557A50" w:rsidRPr="005A228B">
        <w:rPr>
          <w:rFonts w:eastAsiaTheme="minorEastAsia"/>
          <w:sz w:val="40"/>
          <w:szCs w:val="22"/>
          <w:lang w:eastAsia="zh-CN"/>
        </w:rPr>
        <w:t xml:space="preserve"> genotyping </w:t>
      </w:r>
      <w:r w:rsidR="00557A50">
        <w:rPr>
          <w:rFonts w:eastAsiaTheme="minorEastAsia"/>
          <w:sz w:val="40"/>
          <w:szCs w:val="22"/>
          <w:lang w:eastAsia="zh-CN"/>
        </w:rPr>
        <w:t xml:space="preserve">Kit </w:t>
      </w:r>
      <w:r w:rsidR="00557A50" w:rsidRPr="005A228B">
        <w:rPr>
          <w:rFonts w:eastAsiaTheme="minorEastAsia"/>
          <w:sz w:val="40"/>
          <w:szCs w:val="22"/>
          <w:lang w:eastAsia="zh-CN"/>
        </w:rPr>
        <w:t xml:space="preserve">manual </w:t>
      </w:r>
    </w:p>
    <w:p w:rsidR="00557A50" w:rsidRPr="005A228B" w:rsidRDefault="00557A50" w:rsidP="00557A50">
      <w:pPr>
        <w:shd w:val="clear" w:color="auto" w:fill="FFFFFF"/>
        <w:rPr>
          <w:rFonts w:eastAsiaTheme="minorEastAsia"/>
          <w:sz w:val="22"/>
          <w:szCs w:val="22"/>
          <w:lang w:eastAsia="zh-CN"/>
        </w:rPr>
      </w:pPr>
    </w:p>
    <w:p w:rsidR="000611B8" w:rsidRDefault="000611B8" w:rsidP="000611B8">
      <w:pPr>
        <w:rPr>
          <w:rFonts w:eastAsiaTheme="minorEastAsia"/>
          <w:b/>
          <w:sz w:val="28"/>
          <w:szCs w:val="28"/>
          <w:lang w:eastAsia="zh-CN"/>
        </w:rPr>
      </w:pPr>
      <w:r>
        <w:rPr>
          <w:rFonts w:eastAsiaTheme="minorEastAsia"/>
          <w:b/>
          <w:sz w:val="28"/>
          <w:szCs w:val="28"/>
          <w:lang w:eastAsia="zh-CN"/>
        </w:rPr>
        <w:t>Highlights of 3FastGeno</w:t>
      </w:r>
      <w:r w:rsidRPr="000611B8">
        <w:rPr>
          <w:rFonts w:eastAsiaTheme="minorEastAsia"/>
          <w:b/>
          <w:sz w:val="28"/>
          <w:szCs w:val="28"/>
          <w:vertAlign w:val="superscript"/>
          <w:lang w:eastAsia="zh-CN"/>
        </w:rPr>
        <w:t>TM</w:t>
      </w:r>
      <w:r>
        <w:rPr>
          <w:rFonts w:eastAsiaTheme="minorEastAsia"/>
          <w:b/>
          <w:sz w:val="28"/>
          <w:szCs w:val="28"/>
          <w:lang w:eastAsia="zh-CN"/>
        </w:rPr>
        <w:t xml:space="preserve"> genotyping Kit </w:t>
      </w:r>
      <w:r w:rsidRPr="004864AE">
        <w:rPr>
          <w:rFonts w:eastAsiaTheme="minorEastAsia"/>
          <w:b/>
          <w:sz w:val="28"/>
          <w:szCs w:val="28"/>
          <w:lang w:eastAsia="zh-CN"/>
        </w:rPr>
        <w:t xml:space="preserve"> </w:t>
      </w:r>
    </w:p>
    <w:p w:rsidR="000611B8" w:rsidRDefault="000611B8" w:rsidP="000611B8">
      <w:pPr>
        <w:pStyle w:val="ListParagraph"/>
        <w:numPr>
          <w:ilvl w:val="0"/>
          <w:numId w:val="5"/>
        </w:numPr>
        <w:shd w:val="clear" w:color="auto" w:fill="FFFFFF"/>
        <w:ind w:left="720"/>
      </w:pPr>
      <w:r>
        <w:t>One buffer DNA extraction in 10 minutes in one tube;</w:t>
      </w:r>
    </w:p>
    <w:p w:rsidR="000611B8" w:rsidRDefault="000611B8" w:rsidP="000611B8">
      <w:pPr>
        <w:pStyle w:val="ListParagraph"/>
        <w:numPr>
          <w:ilvl w:val="0"/>
          <w:numId w:val="5"/>
        </w:numPr>
        <w:shd w:val="clear" w:color="auto" w:fill="FFFFFF"/>
        <w:ind w:left="720"/>
      </w:pPr>
      <w:r>
        <w:t>D</w:t>
      </w:r>
      <w:r w:rsidRPr="006E62CB">
        <w:t>irect gel</w:t>
      </w:r>
      <w:r>
        <w:t>-loading</w:t>
      </w:r>
      <w:r w:rsidRPr="006E62CB">
        <w:t xml:space="preserve"> </w:t>
      </w:r>
    </w:p>
    <w:p w:rsidR="000611B8" w:rsidRPr="006E62CB" w:rsidRDefault="000611B8" w:rsidP="000611B8">
      <w:pPr>
        <w:pStyle w:val="ListParagraph"/>
        <w:numPr>
          <w:ilvl w:val="0"/>
          <w:numId w:val="5"/>
        </w:numPr>
        <w:shd w:val="clear" w:color="auto" w:fill="FFFFFF"/>
        <w:ind w:left="720"/>
      </w:pPr>
      <w:r>
        <w:t xml:space="preserve">No need </w:t>
      </w:r>
      <w:proofErr w:type="spellStart"/>
      <w:r>
        <w:t>Ethidium</w:t>
      </w:r>
      <w:proofErr w:type="spellEnd"/>
      <w:r>
        <w:t xml:space="preserve"> Bromide staining</w:t>
      </w:r>
      <w:r w:rsidRPr="006E62CB">
        <w:t>.</w:t>
      </w:r>
    </w:p>
    <w:p w:rsidR="00557A50" w:rsidRPr="00623E61" w:rsidRDefault="00557A50" w:rsidP="00557A50">
      <w:pPr>
        <w:rPr>
          <w:rFonts w:eastAsiaTheme="minorEastAsia"/>
          <w:b/>
          <w:sz w:val="28"/>
          <w:szCs w:val="28"/>
          <w:lang w:eastAsia="zh-CN"/>
        </w:rPr>
      </w:pPr>
      <w:r w:rsidRPr="00623E61">
        <w:rPr>
          <w:rFonts w:eastAsiaTheme="minorEastAsia"/>
          <w:b/>
          <w:sz w:val="28"/>
          <w:szCs w:val="28"/>
          <w:lang w:eastAsia="zh-CN"/>
        </w:rPr>
        <w:t>Product description</w:t>
      </w:r>
    </w:p>
    <w:p w:rsidR="001901B4" w:rsidRPr="0089471A" w:rsidRDefault="001901B4" w:rsidP="001901B4">
      <w:pPr>
        <w:shd w:val="clear" w:color="auto" w:fill="FFFFFF"/>
        <w:rPr>
          <w:rFonts w:eastAsiaTheme="minorEastAsia"/>
          <w:sz w:val="20"/>
          <w:szCs w:val="22"/>
          <w:lang w:eastAsia="zh-CN"/>
        </w:rPr>
      </w:pPr>
      <w:r w:rsidRPr="0089471A">
        <w:rPr>
          <w:rFonts w:eastAsiaTheme="minorEastAsia"/>
          <w:sz w:val="20"/>
          <w:szCs w:val="22"/>
          <w:lang w:eastAsia="zh-CN"/>
        </w:rPr>
        <w:t>3FastGeno</w:t>
      </w:r>
      <w:r w:rsidRPr="0089471A">
        <w:rPr>
          <w:rFonts w:eastAsiaTheme="minorEastAsia"/>
          <w:sz w:val="20"/>
          <w:szCs w:val="22"/>
          <w:vertAlign w:val="superscript"/>
          <w:lang w:eastAsia="zh-CN"/>
        </w:rPr>
        <w:t>TM</w:t>
      </w:r>
      <w:r w:rsidRPr="0089471A">
        <w:rPr>
          <w:rFonts w:eastAsiaTheme="minorEastAsia"/>
          <w:sz w:val="20"/>
          <w:szCs w:val="22"/>
          <w:lang w:eastAsia="zh-CN"/>
        </w:rPr>
        <w:t xml:space="preserve"> Genotyping Kit is developed with a novel </w:t>
      </w:r>
      <w:r w:rsidR="000611B8" w:rsidRPr="0089471A">
        <w:rPr>
          <w:rFonts w:eastAsiaTheme="minorEastAsia"/>
          <w:sz w:val="20"/>
          <w:szCs w:val="22"/>
          <w:lang w:eastAsia="zh-CN"/>
        </w:rPr>
        <w:t>technique (patent is Pending). O</w:t>
      </w:r>
      <w:r w:rsidRPr="0089471A">
        <w:rPr>
          <w:rFonts w:eastAsiaTheme="minorEastAsia"/>
          <w:sz w:val="20"/>
          <w:szCs w:val="22"/>
          <w:lang w:eastAsia="zh-CN"/>
        </w:rPr>
        <w:t xml:space="preserve">ne buffer genomic DNA </w:t>
      </w:r>
      <w:r w:rsidR="000611B8" w:rsidRPr="0089471A">
        <w:rPr>
          <w:rFonts w:eastAsiaTheme="minorEastAsia"/>
          <w:sz w:val="20"/>
          <w:szCs w:val="22"/>
          <w:lang w:eastAsia="zh-CN"/>
        </w:rPr>
        <w:t xml:space="preserve">extraction makes </w:t>
      </w:r>
      <w:r w:rsidR="00765A61" w:rsidRPr="0089471A">
        <w:rPr>
          <w:rFonts w:eastAsiaTheme="minorEastAsia"/>
          <w:sz w:val="20"/>
          <w:szCs w:val="22"/>
          <w:lang w:eastAsia="zh-CN"/>
        </w:rPr>
        <w:t>one-step</w:t>
      </w:r>
      <w:r w:rsidRPr="0089471A">
        <w:rPr>
          <w:rFonts w:eastAsiaTheme="minorEastAsia"/>
          <w:sz w:val="20"/>
          <w:szCs w:val="22"/>
          <w:lang w:eastAsia="zh-CN"/>
        </w:rPr>
        <w:t xml:space="preserve"> </w:t>
      </w:r>
      <w:r w:rsidR="000611B8" w:rsidRPr="0089471A">
        <w:rPr>
          <w:rFonts w:eastAsiaTheme="minorEastAsia"/>
          <w:sz w:val="20"/>
          <w:szCs w:val="22"/>
          <w:lang w:eastAsia="zh-CN"/>
        </w:rPr>
        <w:t>genomic DNA</w:t>
      </w:r>
      <w:r w:rsidRPr="0089471A">
        <w:rPr>
          <w:rFonts w:eastAsiaTheme="minorEastAsia"/>
          <w:sz w:val="20"/>
          <w:szCs w:val="22"/>
          <w:lang w:eastAsia="zh-CN"/>
        </w:rPr>
        <w:t xml:space="preserve"> extract</w:t>
      </w:r>
      <w:r w:rsidR="000611B8" w:rsidRPr="0089471A">
        <w:rPr>
          <w:rFonts w:eastAsiaTheme="minorEastAsia"/>
          <w:sz w:val="20"/>
          <w:szCs w:val="22"/>
          <w:lang w:eastAsia="zh-CN"/>
        </w:rPr>
        <w:t>ion</w:t>
      </w:r>
      <w:r w:rsidRPr="0089471A">
        <w:rPr>
          <w:rFonts w:eastAsiaTheme="minorEastAsia"/>
          <w:sz w:val="20"/>
          <w:szCs w:val="22"/>
          <w:lang w:eastAsia="zh-CN"/>
        </w:rPr>
        <w:t xml:space="preserve"> </w:t>
      </w:r>
      <w:r w:rsidR="000611B8" w:rsidRPr="0089471A">
        <w:rPr>
          <w:rFonts w:eastAsiaTheme="minorEastAsia"/>
          <w:sz w:val="20"/>
          <w:szCs w:val="22"/>
          <w:lang w:eastAsia="zh-CN"/>
        </w:rPr>
        <w:t>become true.  O</w:t>
      </w:r>
      <w:r w:rsidRPr="0089471A">
        <w:rPr>
          <w:rFonts w:eastAsiaTheme="minorEastAsia"/>
          <w:sz w:val="20"/>
          <w:szCs w:val="22"/>
          <w:lang w:eastAsia="zh-CN"/>
        </w:rPr>
        <w:t>ne buffer</w:t>
      </w:r>
      <w:r w:rsidR="00765A61" w:rsidRPr="0089471A">
        <w:rPr>
          <w:rFonts w:eastAsiaTheme="minorEastAsia"/>
          <w:sz w:val="20"/>
          <w:szCs w:val="22"/>
          <w:lang w:eastAsia="zh-CN"/>
        </w:rPr>
        <w:t xml:space="preserve"> genomic DNA extraction eliminates</w:t>
      </w:r>
      <w:r w:rsidRPr="0089471A">
        <w:rPr>
          <w:rFonts w:eastAsiaTheme="minorEastAsia"/>
          <w:sz w:val="20"/>
          <w:szCs w:val="22"/>
          <w:lang w:eastAsia="zh-CN"/>
        </w:rPr>
        <w:t xml:space="preserve"> long time digestion, expensive purification or extra neutralization step</w:t>
      </w:r>
      <w:r w:rsidR="00765A61" w:rsidRPr="0089471A">
        <w:rPr>
          <w:rFonts w:eastAsiaTheme="minorEastAsia"/>
          <w:sz w:val="20"/>
          <w:szCs w:val="22"/>
          <w:lang w:eastAsia="zh-CN"/>
        </w:rPr>
        <w:t>s</w:t>
      </w:r>
      <w:r w:rsidRPr="0089471A">
        <w:rPr>
          <w:rFonts w:eastAsiaTheme="minorEastAsia"/>
          <w:sz w:val="20"/>
          <w:szCs w:val="22"/>
          <w:lang w:eastAsia="zh-CN"/>
        </w:rPr>
        <w:t xml:space="preserve">. The </w:t>
      </w:r>
      <w:r w:rsidR="00765A61" w:rsidRPr="0089471A">
        <w:rPr>
          <w:rFonts w:eastAsiaTheme="minorEastAsia"/>
          <w:sz w:val="20"/>
          <w:szCs w:val="22"/>
          <w:lang w:eastAsia="zh-CN"/>
        </w:rPr>
        <w:t>genomic DNA extracted with one buffer technique</w:t>
      </w:r>
      <w:r w:rsidRPr="0089471A">
        <w:rPr>
          <w:rFonts w:eastAsiaTheme="minorEastAsia"/>
          <w:sz w:val="20"/>
          <w:szCs w:val="22"/>
          <w:lang w:eastAsia="zh-CN"/>
        </w:rPr>
        <w:t xml:space="preserve"> can be used directly for PCR reactions.  The high sensitivity and high specificity hot-start </w:t>
      </w:r>
      <w:proofErr w:type="spellStart"/>
      <w:r w:rsidRPr="0089471A">
        <w:rPr>
          <w:rFonts w:eastAsiaTheme="minorEastAsia"/>
          <w:sz w:val="20"/>
          <w:szCs w:val="22"/>
          <w:lang w:eastAsia="zh-CN"/>
        </w:rPr>
        <w:t>Taq</w:t>
      </w:r>
      <w:proofErr w:type="spellEnd"/>
      <w:r w:rsidRPr="0089471A">
        <w:rPr>
          <w:rFonts w:eastAsiaTheme="minorEastAsia"/>
          <w:sz w:val="20"/>
          <w:szCs w:val="22"/>
          <w:lang w:eastAsia="zh-CN"/>
        </w:rPr>
        <w:t xml:space="preserve"> polymerase in the kit has optimized for the </w:t>
      </w:r>
      <w:r w:rsidR="00765A61" w:rsidRPr="0089471A">
        <w:rPr>
          <w:rFonts w:eastAsiaTheme="minorEastAsia"/>
          <w:sz w:val="20"/>
          <w:szCs w:val="22"/>
          <w:lang w:eastAsia="zh-CN"/>
        </w:rPr>
        <w:t xml:space="preserve">PCR with the </w:t>
      </w:r>
      <w:r w:rsidRPr="0089471A">
        <w:rPr>
          <w:rFonts w:eastAsiaTheme="minorEastAsia"/>
          <w:sz w:val="20"/>
          <w:szCs w:val="22"/>
          <w:lang w:eastAsia="zh-CN"/>
        </w:rPr>
        <w:t>genomic DN</w:t>
      </w:r>
      <w:r w:rsidR="00765A61" w:rsidRPr="0089471A">
        <w:rPr>
          <w:rFonts w:eastAsiaTheme="minorEastAsia"/>
          <w:sz w:val="20"/>
          <w:szCs w:val="22"/>
          <w:lang w:eastAsia="zh-CN"/>
        </w:rPr>
        <w:t>A extracted by one buffer technique</w:t>
      </w:r>
      <w:r w:rsidRPr="0089471A">
        <w:rPr>
          <w:rFonts w:eastAsiaTheme="minorEastAsia"/>
          <w:sz w:val="20"/>
          <w:szCs w:val="22"/>
          <w:lang w:eastAsia="zh-CN"/>
        </w:rPr>
        <w:t xml:space="preserve">. The specially formulated </w:t>
      </w:r>
      <w:r w:rsidR="009F62A6" w:rsidRPr="0089471A">
        <w:rPr>
          <w:rFonts w:eastAsiaTheme="minorEastAsia"/>
          <w:sz w:val="20"/>
          <w:szCs w:val="22"/>
          <w:lang w:eastAsia="zh-CN"/>
        </w:rPr>
        <w:t xml:space="preserve">2X PCR master mix </w:t>
      </w:r>
      <w:r w:rsidRPr="0089471A">
        <w:rPr>
          <w:rFonts w:eastAsiaTheme="minorEastAsia"/>
          <w:sz w:val="20"/>
          <w:szCs w:val="22"/>
          <w:lang w:eastAsia="zh-CN"/>
        </w:rPr>
        <w:t xml:space="preserve">enables customer direct loading PCR product on </w:t>
      </w:r>
      <w:proofErr w:type="spellStart"/>
      <w:r w:rsidRPr="0089471A">
        <w:rPr>
          <w:rFonts w:eastAsiaTheme="minorEastAsia"/>
          <w:sz w:val="20"/>
          <w:szCs w:val="22"/>
          <w:lang w:eastAsia="zh-CN"/>
        </w:rPr>
        <w:t>agarose</w:t>
      </w:r>
      <w:proofErr w:type="spellEnd"/>
      <w:r w:rsidRPr="0089471A">
        <w:rPr>
          <w:rFonts w:eastAsiaTheme="minorEastAsia"/>
          <w:sz w:val="20"/>
          <w:szCs w:val="22"/>
          <w:lang w:eastAsia="zh-CN"/>
        </w:rPr>
        <w:t xml:space="preserve"> gel or run </w:t>
      </w:r>
      <w:proofErr w:type="spellStart"/>
      <w:r w:rsidRPr="0089471A">
        <w:rPr>
          <w:rFonts w:eastAsiaTheme="minorEastAsia"/>
          <w:sz w:val="20"/>
          <w:szCs w:val="22"/>
          <w:lang w:eastAsia="zh-CN"/>
        </w:rPr>
        <w:t>realtime</w:t>
      </w:r>
      <w:proofErr w:type="spellEnd"/>
      <w:r w:rsidRPr="0089471A">
        <w:rPr>
          <w:rFonts w:eastAsiaTheme="minorEastAsia"/>
          <w:sz w:val="20"/>
          <w:szCs w:val="22"/>
          <w:lang w:eastAsia="zh-CN"/>
        </w:rPr>
        <w:t xml:space="preserve"> </w:t>
      </w:r>
      <w:r w:rsidR="00765A61" w:rsidRPr="0089471A">
        <w:rPr>
          <w:rFonts w:eastAsiaTheme="minorEastAsia"/>
          <w:sz w:val="20"/>
          <w:szCs w:val="22"/>
          <w:lang w:eastAsia="zh-CN"/>
        </w:rPr>
        <w:t xml:space="preserve">PCR </w:t>
      </w:r>
      <w:r w:rsidRPr="0089471A">
        <w:rPr>
          <w:rFonts w:eastAsiaTheme="minorEastAsia"/>
          <w:sz w:val="20"/>
          <w:szCs w:val="22"/>
          <w:lang w:eastAsia="zh-CN"/>
        </w:rPr>
        <w:t xml:space="preserve">to determine genotype. The SYBR Green in </w:t>
      </w:r>
      <w:r w:rsidR="009F62A6" w:rsidRPr="0089471A">
        <w:rPr>
          <w:rFonts w:eastAsiaTheme="minorEastAsia"/>
          <w:sz w:val="20"/>
          <w:szCs w:val="22"/>
          <w:lang w:eastAsia="zh-CN"/>
        </w:rPr>
        <w:t xml:space="preserve">2X PCR master mix </w:t>
      </w:r>
      <w:r w:rsidRPr="0089471A">
        <w:rPr>
          <w:rFonts w:eastAsiaTheme="minorEastAsia"/>
          <w:sz w:val="20"/>
          <w:szCs w:val="22"/>
          <w:lang w:eastAsia="zh-CN"/>
        </w:rPr>
        <w:t xml:space="preserve">will stain the amplified DNA during PCR and the SYBR Green stained PCR product can be seen under UV or blue light, so do not need EB staining any more. </w:t>
      </w:r>
    </w:p>
    <w:p w:rsidR="000611B8" w:rsidRPr="0089471A" w:rsidRDefault="001901B4" w:rsidP="001901B4">
      <w:pPr>
        <w:shd w:val="clear" w:color="auto" w:fill="FFFFFF"/>
        <w:rPr>
          <w:rFonts w:eastAsiaTheme="minorEastAsia"/>
          <w:sz w:val="20"/>
          <w:szCs w:val="22"/>
          <w:lang w:eastAsia="zh-CN"/>
        </w:rPr>
      </w:pPr>
      <w:r w:rsidRPr="0089471A">
        <w:rPr>
          <w:rFonts w:eastAsiaTheme="minorEastAsia"/>
          <w:sz w:val="20"/>
          <w:szCs w:val="22"/>
          <w:lang w:eastAsia="zh-CN"/>
        </w:rPr>
        <w:t>3FastGeno</w:t>
      </w:r>
      <w:r w:rsidRPr="0089471A">
        <w:rPr>
          <w:rFonts w:eastAsiaTheme="minorEastAsia"/>
          <w:sz w:val="20"/>
          <w:szCs w:val="22"/>
          <w:vertAlign w:val="superscript"/>
          <w:lang w:eastAsia="zh-CN"/>
        </w:rPr>
        <w:t>TM</w:t>
      </w:r>
      <w:r w:rsidRPr="0089471A">
        <w:rPr>
          <w:rFonts w:eastAsiaTheme="minorEastAsia"/>
          <w:sz w:val="20"/>
          <w:szCs w:val="22"/>
          <w:lang w:eastAsia="zh-CN"/>
        </w:rPr>
        <w:t xml:space="preserve"> Genotyping Kit </w:t>
      </w:r>
      <w:r w:rsidR="0011437B" w:rsidRPr="0089471A">
        <w:rPr>
          <w:rFonts w:eastAsiaTheme="minorEastAsia"/>
          <w:sz w:val="20"/>
          <w:szCs w:val="22"/>
          <w:lang w:eastAsia="zh-CN"/>
        </w:rPr>
        <w:t xml:space="preserve">is a </w:t>
      </w:r>
      <w:r w:rsidR="00A176D6" w:rsidRPr="0089471A">
        <w:rPr>
          <w:rFonts w:eastAsiaTheme="minorEastAsia"/>
          <w:sz w:val="20"/>
          <w:szCs w:val="22"/>
          <w:lang w:eastAsia="zh-CN"/>
        </w:rPr>
        <w:t>fast, easy, reliable</w:t>
      </w:r>
      <w:r w:rsidR="005447E3" w:rsidRPr="0089471A">
        <w:rPr>
          <w:rFonts w:eastAsiaTheme="minorEastAsia"/>
          <w:sz w:val="20"/>
          <w:szCs w:val="22"/>
          <w:lang w:eastAsia="zh-CN"/>
        </w:rPr>
        <w:t xml:space="preserve"> </w:t>
      </w:r>
      <w:r w:rsidR="0011437B" w:rsidRPr="0089471A">
        <w:rPr>
          <w:rFonts w:eastAsiaTheme="minorEastAsia"/>
          <w:sz w:val="20"/>
          <w:szCs w:val="22"/>
          <w:lang w:eastAsia="zh-CN"/>
        </w:rPr>
        <w:t xml:space="preserve">kit for endpoint PCR genotyping or </w:t>
      </w:r>
      <w:r w:rsidR="004864AE" w:rsidRPr="0089471A">
        <w:rPr>
          <w:rFonts w:eastAsiaTheme="minorEastAsia"/>
          <w:sz w:val="20"/>
          <w:szCs w:val="22"/>
          <w:lang w:eastAsia="zh-CN"/>
        </w:rPr>
        <w:t>real-time PCR</w:t>
      </w:r>
      <w:r w:rsidR="0011437B" w:rsidRPr="0089471A">
        <w:rPr>
          <w:rFonts w:eastAsiaTheme="minorEastAsia"/>
          <w:sz w:val="20"/>
          <w:szCs w:val="22"/>
          <w:lang w:eastAsia="zh-CN"/>
        </w:rPr>
        <w:t xml:space="preserve"> genotyping with tail snips and ear punches. The kit </w:t>
      </w:r>
      <w:r w:rsidRPr="0089471A">
        <w:rPr>
          <w:rFonts w:eastAsiaTheme="minorEastAsia"/>
          <w:sz w:val="20"/>
          <w:szCs w:val="22"/>
          <w:lang w:eastAsia="zh-CN"/>
        </w:rPr>
        <w:t>contains all components for PCR genotyping (except primers</w:t>
      </w:r>
      <w:r w:rsidR="0011437B" w:rsidRPr="0089471A">
        <w:rPr>
          <w:rFonts w:eastAsiaTheme="minorEastAsia"/>
          <w:sz w:val="20"/>
          <w:szCs w:val="22"/>
          <w:lang w:eastAsia="zh-CN"/>
        </w:rPr>
        <w:t>,</w:t>
      </w:r>
      <w:r w:rsidRPr="0089471A">
        <w:rPr>
          <w:rFonts w:eastAsiaTheme="minorEastAsia"/>
          <w:sz w:val="20"/>
          <w:szCs w:val="22"/>
          <w:lang w:eastAsia="zh-CN"/>
        </w:rPr>
        <w:t xml:space="preserve"> template</w:t>
      </w:r>
      <w:r w:rsidR="0011437B" w:rsidRPr="0089471A">
        <w:rPr>
          <w:rFonts w:eastAsiaTheme="minorEastAsia"/>
          <w:sz w:val="20"/>
          <w:szCs w:val="22"/>
          <w:lang w:eastAsia="zh-CN"/>
        </w:rPr>
        <w:t xml:space="preserve"> and</w:t>
      </w:r>
      <w:r w:rsidR="004864AE" w:rsidRPr="0089471A">
        <w:rPr>
          <w:rFonts w:eastAsiaTheme="minorEastAsia"/>
          <w:sz w:val="20"/>
          <w:szCs w:val="22"/>
          <w:lang w:eastAsia="zh-CN"/>
        </w:rPr>
        <w:t xml:space="preserve"> PCR grade H2O</w:t>
      </w:r>
      <w:r w:rsidRPr="0089471A">
        <w:rPr>
          <w:rFonts w:eastAsiaTheme="minorEastAsia"/>
          <w:sz w:val="20"/>
          <w:szCs w:val="22"/>
          <w:lang w:eastAsia="zh-CN"/>
        </w:rPr>
        <w:t xml:space="preserve">). The simplified method greatly decreased hand on times and the chance of cross contamination between samples. </w:t>
      </w:r>
    </w:p>
    <w:p w:rsidR="00A176D6" w:rsidRPr="0089471A" w:rsidRDefault="00A176D6" w:rsidP="001901B4">
      <w:pPr>
        <w:shd w:val="clear" w:color="auto" w:fill="FFFFFF"/>
        <w:rPr>
          <w:rFonts w:eastAsiaTheme="minorEastAsia"/>
          <w:sz w:val="20"/>
          <w:szCs w:val="22"/>
          <w:lang w:eastAsia="zh-CN"/>
        </w:rPr>
      </w:pPr>
    </w:p>
    <w:p w:rsidR="007E6FFF" w:rsidRPr="00D53543" w:rsidRDefault="007E6FFF" w:rsidP="007E6FFF">
      <w:pPr>
        <w:rPr>
          <w:rFonts w:eastAsiaTheme="minorEastAsia"/>
          <w:b/>
          <w:sz w:val="28"/>
          <w:szCs w:val="28"/>
          <w:lang w:eastAsia="zh-CN"/>
        </w:rPr>
      </w:pPr>
      <w:r w:rsidRPr="00D53543">
        <w:rPr>
          <w:rFonts w:eastAsiaTheme="minorEastAsia"/>
          <w:b/>
          <w:sz w:val="28"/>
          <w:szCs w:val="28"/>
          <w:lang w:eastAsia="zh-CN"/>
        </w:rPr>
        <w:t>DNA Extraction Protocol</w:t>
      </w:r>
    </w:p>
    <w:p w:rsidR="007E6FFF" w:rsidRPr="00C46642" w:rsidRDefault="007E6FFF" w:rsidP="00C46642">
      <w:pPr>
        <w:pStyle w:val="ListParagraph"/>
        <w:numPr>
          <w:ilvl w:val="0"/>
          <w:numId w:val="12"/>
        </w:numPr>
        <w:rPr>
          <w:sz w:val="20"/>
        </w:rPr>
      </w:pPr>
      <w:r w:rsidRPr="00C46642">
        <w:rPr>
          <w:sz w:val="20"/>
        </w:rPr>
        <w:t>Place 2 mm tail</w:t>
      </w:r>
      <w:r w:rsidR="008854E2">
        <w:rPr>
          <w:sz w:val="20"/>
        </w:rPr>
        <w:t xml:space="preserve"> snip, or 2 mm ear punch biopsy,</w:t>
      </w:r>
      <w:r w:rsidR="00C46642" w:rsidRPr="00C46642">
        <w:rPr>
          <w:sz w:val="20"/>
        </w:rPr>
        <w:t xml:space="preserve"> or toe clipping </w:t>
      </w:r>
      <w:r w:rsidRPr="00C46642">
        <w:rPr>
          <w:sz w:val="20"/>
        </w:rPr>
        <w:t>in PCR strip tube</w:t>
      </w:r>
    </w:p>
    <w:p w:rsidR="007E6FFF" w:rsidRPr="00C46642" w:rsidRDefault="007E6FFF" w:rsidP="00C46642">
      <w:pPr>
        <w:pStyle w:val="ListParagraph"/>
        <w:numPr>
          <w:ilvl w:val="0"/>
          <w:numId w:val="12"/>
        </w:numPr>
        <w:rPr>
          <w:sz w:val="20"/>
        </w:rPr>
      </w:pPr>
      <w:r w:rsidRPr="00C46642">
        <w:rPr>
          <w:sz w:val="20"/>
        </w:rPr>
        <w:t xml:space="preserve">Add 50 </w:t>
      </w:r>
      <w:proofErr w:type="spellStart"/>
      <w:r w:rsidRPr="00C46642">
        <w:rPr>
          <w:sz w:val="20"/>
        </w:rPr>
        <w:t>μl</w:t>
      </w:r>
      <w:proofErr w:type="spellEnd"/>
      <w:r w:rsidRPr="00C46642">
        <w:rPr>
          <w:sz w:val="20"/>
        </w:rPr>
        <w:t xml:space="preserve"> of </w:t>
      </w:r>
      <w:r w:rsidR="00765A61" w:rsidRPr="00C46642">
        <w:rPr>
          <w:sz w:val="20"/>
        </w:rPr>
        <w:t>DNA extraction buffer</w:t>
      </w:r>
      <w:r w:rsidRPr="00C46642">
        <w:rPr>
          <w:sz w:val="20"/>
        </w:rPr>
        <w:t xml:space="preserve"> into tubes and cap the strip tubes</w:t>
      </w:r>
    </w:p>
    <w:p w:rsidR="00C46642" w:rsidRDefault="00C46642" w:rsidP="00C46642">
      <w:pPr>
        <w:pStyle w:val="ListParagraph"/>
        <w:numPr>
          <w:ilvl w:val="0"/>
          <w:numId w:val="12"/>
        </w:numPr>
        <w:rPr>
          <w:sz w:val="20"/>
        </w:rPr>
      </w:pPr>
      <w:r w:rsidRPr="00C46642">
        <w:rPr>
          <w:sz w:val="20"/>
        </w:rPr>
        <w:t>Heat to 95°C for 2</w:t>
      </w:r>
      <w:r w:rsidR="007E6FFF" w:rsidRPr="00C46642">
        <w:rPr>
          <w:sz w:val="20"/>
        </w:rPr>
        <w:t>0 min in PCR thermal cycler then cool down to 4°C</w:t>
      </w:r>
    </w:p>
    <w:p w:rsidR="007E6FFF" w:rsidRPr="00C46642" w:rsidRDefault="007E6FFF" w:rsidP="00C46642">
      <w:pPr>
        <w:pStyle w:val="ListParagraph"/>
        <w:numPr>
          <w:ilvl w:val="0"/>
          <w:numId w:val="12"/>
        </w:numPr>
        <w:rPr>
          <w:sz w:val="20"/>
        </w:rPr>
      </w:pPr>
      <w:r w:rsidRPr="00C46642">
        <w:rPr>
          <w:sz w:val="20"/>
        </w:rPr>
        <w:t>The supernatant now is ready for PCR reaction</w:t>
      </w:r>
      <w:r w:rsidR="00C46642" w:rsidRPr="00C46642">
        <w:rPr>
          <w:sz w:val="20"/>
        </w:rPr>
        <w:t>. Don’t worry about undigested tissues</w:t>
      </w:r>
    </w:p>
    <w:p w:rsidR="007E6FFF" w:rsidRPr="00623E61" w:rsidRDefault="007E6FFF" w:rsidP="007E6FFF">
      <w:pPr>
        <w:pStyle w:val="ListParagraph"/>
        <w:numPr>
          <w:ilvl w:val="0"/>
          <w:numId w:val="6"/>
        </w:numPr>
        <w:rPr>
          <w:b/>
        </w:rPr>
      </w:pPr>
      <w:r w:rsidRPr="00623E61">
        <w:rPr>
          <w:b/>
        </w:rPr>
        <w:t>Useful Tips:</w:t>
      </w:r>
    </w:p>
    <w:p w:rsidR="007E6FFF" w:rsidRPr="002A2DEA" w:rsidRDefault="007E6FFF" w:rsidP="002A2DEA">
      <w:pPr>
        <w:ind w:left="1030"/>
        <w:rPr>
          <w:sz w:val="20"/>
        </w:rPr>
      </w:pPr>
      <w:r w:rsidRPr="002A2DEA">
        <w:rPr>
          <w:sz w:val="20"/>
        </w:rPr>
        <w:t>1. DNA is suitable for PCR reaction. Excess sample may inhibit PCR.</w:t>
      </w:r>
    </w:p>
    <w:p w:rsidR="007E6FFF" w:rsidRPr="002A2DEA" w:rsidRDefault="008854E2" w:rsidP="002A2DEA">
      <w:pPr>
        <w:ind w:left="1030"/>
        <w:rPr>
          <w:sz w:val="20"/>
        </w:rPr>
      </w:pPr>
      <w:r>
        <w:rPr>
          <w:sz w:val="20"/>
        </w:rPr>
        <w:t>2. Heating for longer than 3</w:t>
      </w:r>
      <w:r w:rsidR="007E6FFF" w:rsidRPr="002A2DEA">
        <w:rPr>
          <w:sz w:val="20"/>
        </w:rPr>
        <w:t>0 min does not increase the yield of DNA.</w:t>
      </w:r>
    </w:p>
    <w:p w:rsidR="002A2DEA" w:rsidRPr="002A2DEA" w:rsidRDefault="007E6FFF" w:rsidP="002A2DEA">
      <w:pPr>
        <w:ind w:left="1030"/>
        <w:rPr>
          <w:sz w:val="20"/>
        </w:rPr>
      </w:pPr>
      <w:r w:rsidRPr="002A2DEA">
        <w:rPr>
          <w:sz w:val="20"/>
        </w:rPr>
        <w:t>3. DNA yield is similar for tail snips, ear punches</w:t>
      </w:r>
      <w:r w:rsidR="008854E2">
        <w:rPr>
          <w:sz w:val="20"/>
        </w:rPr>
        <w:t xml:space="preserve"> and toe clipping</w:t>
      </w:r>
      <w:r w:rsidRPr="002A2DEA">
        <w:rPr>
          <w:sz w:val="20"/>
        </w:rPr>
        <w:t>.</w:t>
      </w:r>
    </w:p>
    <w:p w:rsidR="00E50100" w:rsidRPr="002A2DEA" w:rsidRDefault="00E50100" w:rsidP="002A2DEA">
      <w:pPr>
        <w:ind w:left="1030"/>
        <w:rPr>
          <w:sz w:val="18"/>
        </w:rPr>
      </w:pPr>
    </w:p>
    <w:p w:rsidR="00385F14" w:rsidRPr="00726711" w:rsidRDefault="00385F14" w:rsidP="00385F14">
      <w:pPr>
        <w:jc w:val="center"/>
      </w:pPr>
      <w:r>
        <w:rPr>
          <w:noProof/>
        </w:rPr>
        <w:drawing>
          <wp:inline distT="0" distB="0" distL="0" distR="0">
            <wp:extent cx="3009464" cy="1439223"/>
            <wp:effectExtent l="25400" t="0" r="0" b="0"/>
            <wp:docPr id="12" name="Picture 3" descr=":gel inve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gel invert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00" cy="143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EDC">
        <w:rPr>
          <w:noProof/>
        </w:rPr>
        <w:drawing>
          <wp:inline distT="0" distB="0" distL="0" distR="0">
            <wp:extent cx="2302933" cy="1405467"/>
            <wp:effectExtent l="25400" t="0" r="8467" b="0"/>
            <wp:docPr id="13" name="Picture 1" descr="DDING1 DISK:2 AR cu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ING1 DISK:2 AR curv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77" r="29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33" cy="140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C8" w:rsidRPr="00143EC8" w:rsidRDefault="00143EC8" w:rsidP="00143EC8">
      <w:pPr>
        <w:tabs>
          <w:tab w:val="left" w:pos="1980"/>
        </w:tabs>
        <w:ind w:left="1260" w:right="1260" w:hanging="540"/>
        <w:jc w:val="both"/>
        <w:rPr>
          <w:rFonts w:ascii="Adobe Hebrew" w:hAnsi="Adobe Hebrew"/>
          <w:sz w:val="20"/>
        </w:rPr>
      </w:pPr>
      <w:r w:rsidRPr="00143EC8">
        <w:rPr>
          <w:rFonts w:ascii="Adobe Hebrew" w:hAnsi="Adobe Hebrew"/>
          <w:sz w:val="20"/>
        </w:rPr>
        <w:t>Genotyping result with one buffer extracted DNA samples from mouse-tail</w:t>
      </w:r>
      <w:r w:rsidRPr="00143EC8">
        <w:rPr>
          <w:sz w:val="20"/>
        </w:rPr>
        <w:t xml:space="preserve"> </w:t>
      </w:r>
      <w:r w:rsidRPr="00143EC8">
        <w:rPr>
          <w:rFonts w:ascii="Adobe Hebrew" w:hAnsi="Adobe Hebrew"/>
          <w:sz w:val="20"/>
        </w:rPr>
        <w:t xml:space="preserve">snips. Left, PCR products in </w:t>
      </w:r>
      <w:proofErr w:type="spellStart"/>
      <w:r w:rsidRPr="00143EC8">
        <w:rPr>
          <w:rFonts w:ascii="Adobe Hebrew" w:hAnsi="Adobe Hebrew"/>
          <w:sz w:val="20"/>
        </w:rPr>
        <w:t>agarose</w:t>
      </w:r>
      <w:proofErr w:type="spellEnd"/>
      <w:r w:rsidRPr="00143EC8">
        <w:rPr>
          <w:rFonts w:ascii="Adobe Hebrew" w:hAnsi="Adobe Hebrew"/>
          <w:sz w:val="20"/>
        </w:rPr>
        <w:t xml:space="preserve"> gel. Right, real-time PCR melting temperature.</w:t>
      </w:r>
    </w:p>
    <w:p w:rsidR="00385F14" w:rsidRDefault="00385F14" w:rsidP="00385F14">
      <w:pPr>
        <w:rPr>
          <w:rFonts w:ascii="Arial" w:hAnsi="Arial" w:cs="Arial"/>
          <w:b/>
          <w:color w:val="272727"/>
          <w:shd w:val="clear" w:color="auto" w:fill="FFFFFF"/>
        </w:rPr>
      </w:pPr>
    </w:p>
    <w:p w:rsidR="00557A50" w:rsidRPr="00D53543" w:rsidRDefault="00557A50" w:rsidP="00557A50">
      <w:pPr>
        <w:rPr>
          <w:rFonts w:eastAsiaTheme="minorEastAsia"/>
          <w:b/>
          <w:sz w:val="28"/>
          <w:szCs w:val="28"/>
          <w:lang w:eastAsia="zh-CN"/>
        </w:rPr>
      </w:pPr>
      <w:r w:rsidRPr="00D53543">
        <w:rPr>
          <w:rFonts w:eastAsiaTheme="minorEastAsia"/>
          <w:b/>
          <w:sz w:val="28"/>
          <w:szCs w:val="28"/>
          <w:lang w:eastAsia="zh-CN"/>
        </w:rPr>
        <w:t>PCR amplification Protocol</w:t>
      </w:r>
    </w:p>
    <w:p w:rsidR="00143EC8" w:rsidRDefault="00143EC8" w:rsidP="00557A50">
      <w:pPr>
        <w:ind w:left="360"/>
        <w:rPr>
          <w:b/>
        </w:rPr>
      </w:pPr>
    </w:p>
    <w:p w:rsidR="00557A50" w:rsidRPr="00385F14" w:rsidRDefault="00557A50" w:rsidP="00557A50">
      <w:pPr>
        <w:ind w:left="360"/>
        <w:rPr>
          <w:b/>
        </w:rPr>
      </w:pPr>
      <w:r w:rsidRPr="00385F14">
        <w:rPr>
          <w:b/>
        </w:rPr>
        <w:t>Set up PCR reaction</w:t>
      </w:r>
    </w:p>
    <w:p w:rsidR="00557A50" w:rsidRPr="005A228B" w:rsidRDefault="00557A50" w:rsidP="00557A50">
      <w:pPr>
        <w:shd w:val="clear" w:color="auto" w:fill="FFFFFF"/>
        <w:tabs>
          <w:tab w:val="left" w:pos="1478"/>
          <w:tab w:val="left" w:pos="2160"/>
          <w:tab w:val="left" w:pos="2880"/>
          <w:tab w:val="left" w:pos="3600"/>
          <w:tab w:val="left" w:pos="4035"/>
          <w:tab w:val="left" w:pos="4080"/>
        </w:tabs>
        <w:rPr>
          <w:rFonts w:cs="Arial"/>
          <w:color w:val="272727"/>
          <w:shd w:val="clear" w:color="auto" w:fill="FFFFFF"/>
        </w:rPr>
      </w:pP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  <w:t xml:space="preserve">       </w:t>
      </w:r>
      <w:r w:rsidRPr="005A228B">
        <w:rPr>
          <w:rFonts w:cs="Arial"/>
          <w:color w:val="272727"/>
          <w:shd w:val="clear" w:color="auto" w:fill="FFFFFF"/>
        </w:rPr>
        <w:tab/>
        <w:t>2X PCR master mix</w:t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  <w:t>10  µl</w:t>
      </w:r>
    </w:p>
    <w:p w:rsidR="00557A50" w:rsidRPr="005A228B" w:rsidRDefault="00E50100" w:rsidP="00557A50">
      <w:pPr>
        <w:shd w:val="clear" w:color="auto" w:fill="FFFFFF"/>
        <w:tabs>
          <w:tab w:val="left" w:pos="1478"/>
        </w:tabs>
        <w:rPr>
          <w:rFonts w:cs="Arial"/>
          <w:color w:val="272727"/>
          <w:shd w:val="clear" w:color="auto" w:fill="FFFFFF"/>
        </w:rPr>
      </w:pPr>
      <w:r>
        <w:rPr>
          <w:rFonts w:cs="Arial"/>
          <w:color w:val="272727"/>
          <w:shd w:val="clear" w:color="auto" w:fill="FFFFFF"/>
        </w:rPr>
        <w:t xml:space="preserve">       </w:t>
      </w:r>
      <w:r>
        <w:rPr>
          <w:rFonts w:cs="Arial"/>
          <w:color w:val="272727"/>
          <w:shd w:val="clear" w:color="auto" w:fill="FFFFFF"/>
        </w:rPr>
        <w:tab/>
      </w:r>
      <w:r>
        <w:rPr>
          <w:rFonts w:cs="Arial"/>
          <w:color w:val="272727"/>
          <w:shd w:val="clear" w:color="auto" w:fill="FFFFFF"/>
        </w:rPr>
        <w:tab/>
      </w:r>
      <w:r>
        <w:rPr>
          <w:rFonts w:cs="Arial"/>
          <w:color w:val="272727"/>
          <w:shd w:val="clear" w:color="auto" w:fill="FFFFFF"/>
        </w:rPr>
        <w:tab/>
        <w:t xml:space="preserve">Primer pair </w:t>
      </w:r>
      <w:proofErr w:type="gramStart"/>
      <w:r>
        <w:rPr>
          <w:rFonts w:cs="Arial"/>
          <w:color w:val="272727"/>
          <w:shd w:val="clear" w:color="auto" w:fill="FFFFFF"/>
        </w:rPr>
        <w:t>mix</w:t>
      </w:r>
      <w:proofErr w:type="gramEnd"/>
      <w:r>
        <w:rPr>
          <w:rFonts w:cs="Arial"/>
          <w:color w:val="272727"/>
          <w:shd w:val="clear" w:color="auto" w:fill="FFFFFF"/>
        </w:rPr>
        <w:tab/>
      </w:r>
      <w:r>
        <w:rPr>
          <w:rFonts w:cs="Arial"/>
          <w:color w:val="272727"/>
          <w:shd w:val="clear" w:color="auto" w:fill="FFFFFF"/>
        </w:rPr>
        <w:tab/>
        <w:t>1</w:t>
      </w:r>
      <w:r w:rsidR="00557A50" w:rsidRPr="005A228B">
        <w:rPr>
          <w:rFonts w:cs="Arial"/>
          <w:color w:val="272727"/>
          <w:shd w:val="clear" w:color="auto" w:fill="FFFFFF"/>
        </w:rPr>
        <w:t xml:space="preserve">    </w:t>
      </w:r>
      <w:r w:rsidR="00557A50">
        <w:rPr>
          <w:rFonts w:cs="Arial"/>
          <w:color w:val="272727"/>
          <w:shd w:val="clear" w:color="auto" w:fill="FFFFFF"/>
        </w:rPr>
        <w:t xml:space="preserve"> </w:t>
      </w:r>
      <w:r w:rsidR="00557A50" w:rsidRPr="005A228B">
        <w:rPr>
          <w:rFonts w:cs="Arial"/>
          <w:color w:val="272727"/>
          <w:shd w:val="clear" w:color="auto" w:fill="FFFFFF"/>
        </w:rPr>
        <w:t>µl</w:t>
      </w:r>
    </w:p>
    <w:p w:rsidR="00557A50" w:rsidRPr="005A228B" w:rsidRDefault="00557A50" w:rsidP="00557A50">
      <w:pPr>
        <w:shd w:val="clear" w:color="auto" w:fill="FFFFFF"/>
        <w:tabs>
          <w:tab w:val="left" w:pos="1478"/>
        </w:tabs>
        <w:rPr>
          <w:rFonts w:cs="Arial"/>
          <w:color w:val="272727"/>
          <w:shd w:val="clear" w:color="auto" w:fill="FFFFFF"/>
        </w:rPr>
      </w:pP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  <w:t xml:space="preserve">         </w:t>
      </w:r>
      <w:proofErr w:type="gramStart"/>
      <w:r w:rsidRPr="005A228B">
        <w:rPr>
          <w:rFonts w:cs="Arial"/>
          <w:color w:val="272727"/>
          <w:shd w:val="clear" w:color="auto" w:fill="FFFFFF"/>
        </w:rPr>
        <w:t>ddH</w:t>
      </w:r>
      <w:r w:rsidRPr="005A228B">
        <w:rPr>
          <w:rFonts w:cs="Arial"/>
          <w:color w:val="272727"/>
          <w:shd w:val="clear" w:color="auto" w:fill="FFFFFF"/>
          <w:vertAlign w:val="subscript"/>
        </w:rPr>
        <w:t>2</w:t>
      </w:r>
      <w:r>
        <w:rPr>
          <w:rFonts w:cs="Arial"/>
          <w:color w:val="272727"/>
          <w:shd w:val="clear" w:color="auto" w:fill="FFFFFF"/>
        </w:rPr>
        <w:t>O</w:t>
      </w:r>
      <w:proofErr w:type="gramEnd"/>
      <w:r>
        <w:rPr>
          <w:rFonts w:cs="Arial"/>
          <w:color w:val="272727"/>
          <w:shd w:val="clear" w:color="auto" w:fill="FFFFFF"/>
        </w:rPr>
        <w:tab/>
      </w:r>
      <w:r>
        <w:rPr>
          <w:rFonts w:cs="Arial"/>
          <w:color w:val="272727"/>
          <w:shd w:val="clear" w:color="auto" w:fill="FFFFFF"/>
        </w:rPr>
        <w:tab/>
      </w:r>
      <w:r w:rsidR="00E50100">
        <w:rPr>
          <w:rFonts w:cs="Arial"/>
          <w:color w:val="272727"/>
          <w:shd w:val="clear" w:color="auto" w:fill="FFFFFF"/>
        </w:rPr>
        <w:t>8</w:t>
      </w:r>
      <w:r w:rsidRPr="005A228B">
        <w:rPr>
          <w:rFonts w:cs="Arial"/>
          <w:color w:val="272727"/>
          <w:shd w:val="clear" w:color="auto" w:fill="FFFFFF"/>
        </w:rPr>
        <w:t xml:space="preserve"> </w:t>
      </w:r>
      <w:r>
        <w:rPr>
          <w:rFonts w:cs="Arial"/>
          <w:color w:val="272727"/>
          <w:shd w:val="clear" w:color="auto" w:fill="FFFFFF"/>
        </w:rPr>
        <w:t xml:space="preserve">    </w:t>
      </w:r>
      <w:r w:rsidRPr="005A228B">
        <w:rPr>
          <w:rFonts w:cs="Arial"/>
          <w:color w:val="272727"/>
          <w:shd w:val="clear" w:color="auto" w:fill="FFFFFF"/>
        </w:rPr>
        <w:t>µl</w:t>
      </w:r>
    </w:p>
    <w:p w:rsidR="00557A50" w:rsidRPr="005A228B" w:rsidRDefault="00557A50" w:rsidP="00557A50">
      <w:pPr>
        <w:shd w:val="clear" w:color="auto" w:fill="FFFFFF"/>
        <w:tabs>
          <w:tab w:val="left" w:pos="1478"/>
        </w:tabs>
        <w:rPr>
          <w:rFonts w:cs="Arial"/>
          <w:color w:val="272727"/>
          <w:shd w:val="clear" w:color="auto" w:fill="FFFFFF"/>
        </w:rPr>
      </w:pP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  <w:t xml:space="preserve">        Extracted DNA           </w:t>
      </w:r>
      <w:r>
        <w:rPr>
          <w:rFonts w:cs="Arial"/>
          <w:color w:val="272727"/>
          <w:shd w:val="clear" w:color="auto" w:fill="FFFFFF"/>
        </w:rPr>
        <w:tab/>
        <w:t xml:space="preserve">1    </w:t>
      </w:r>
      <w:r w:rsidRPr="005A228B">
        <w:rPr>
          <w:rFonts w:cs="Arial"/>
          <w:color w:val="272727"/>
          <w:shd w:val="clear" w:color="auto" w:fill="FFFFFF"/>
        </w:rPr>
        <w:t xml:space="preserve"> µl</w:t>
      </w:r>
    </w:p>
    <w:p w:rsidR="00557A50" w:rsidRPr="005A228B" w:rsidRDefault="00557A50" w:rsidP="00557A50">
      <w:pPr>
        <w:shd w:val="clear" w:color="auto" w:fill="FFFFFF"/>
        <w:tabs>
          <w:tab w:val="left" w:pos="1478"/>
        </w:tabs>
        <w:rPr>
          <w:rFonts w:cs="Arial"/>
          <w:color w:val="272727"/>
          <w:shd w:val="clear" w:color="auto" w:fill="FFFFFF"/>
        </w:rPr>
      </w:pPr>
      <w:r w:rsidRPr="005A228B">
        <w:rPr>
          <w:rFonts w:cs="Arial"/>
          <w:color w:val="272727"/>
          <w:shd w:val="clear" w:color="auto" w:fill="FFFFFF"/>
        </w:rPr>
        <w:tab/>
        <w:t xml:space="preserve">      ______________________________________</w:t>
      </w:r>
      <w:r>
        <w:rPr>
          <w:rFonts w:cs="Arial"/>
          <w:color w:val="272727"/>
          <w:shd w:val="clear" w:color="auto" w:fill="FFFFFF"/>
        </w:rPr>
        <w:t>_______________</w:t>
      </w:r>
    </w:p>
    <w:p w:rsidR="00385F14" w:rsidRDefault="00557A50" w:rsidP="00557A50">
      <w:pPr>
        <w:shd w:val="clear" w:color="auto" w:fill="FFFFFF"/>
        <w:tabs>
          <w:tab w:val="left" w:pos="1478"/>
        </w:tabs>
        <w:rPr>
          <w:rFonts w:cs="Arial"/>
          <w:color w:val="272727"/>
          <w:shd w:val="clear" w:color="auto" w:fill="FFFFFF"/>
        </w:rPr>
      </w:pP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</w:r>
      <w:r w:rsidRPr="005A228B">
        <w:rPr>
          <w:rFonts w:cs="Arial"/>
          <w:color w:val="272727"/>
          <w:shd w:val="clear" w:color="auto" w:fill="FFFFFF"/>
        </w:rPr>
        <w:tab/>
        <w:t xml:space="preserve"> Total</w:t>
      </w:r>
      <w:r w:rsidRPr="005A228B">
        <w:rPr>
          <w:rFonts w:cs="Arial"/>
          <w:color w:val="272727"/>
          <w:shd w:val="clear" w:color="auto" w:fill="FFFFFF"/>
        </w:rPr>
        <w:tab/>
        <w:t xml:space="preserve">           </w:t>
      </w:r>
      <w:r>
        <w:rPr>
          <w:rFonts w:cs="Arial"/>
          <w:color w:val="272727"/>
          <w:shd w:val="clear" w:color="auto" w:fill="FFFFFF"/>
        </w:rPr>
        <w:t xml:space="preserve">   </w:t>
      </w:r>
      <w:r w:rsidRPr="005A228B">
        <w:rPr>
          <w:rFonts w:cs="Arial"/>
          <w:color w:val="272727"/>
          <w:shd w:val="clear" w:color="auto" w:fill="FFFFFF"/>
        </w:rPr>
        <w:t xml:space="preserve">20 </w:t>
      </w:r>
      <w:r>
        <w:rPr>
          <w:rFonts w:cs="Arial"/>
          <w:color w:val="272727"/>
          <w:shd w:val="clear" w:color="auto" w:fill="FFFFFF"/>
        </w:rPr>
        <w:t xml:space="preserve"> </w:t>
      </w:r>
      <w:r w:rsidRPr="005A228B">
        <w:rPr>
          <w:rFonts w:cs="Arial"/>
          <w:color w:val="272727"/>
          <w:shd w:val="clear" w:color="auto" w:fill="FFFFFF"/>
        </w:rPr>
        <w:t>µl</w:t>
      </w:r>
    </w:p>
    <w:p w:rsidR="00557A50" w:rsidRPr="00D53543" w:rsidRDefault="00385F14" w:rsidP="00557A50">
      <w:pPr>
        <w:ind w:left="360"/>
        <w:rPr>
          <w:b/>
        </w:rPr>
      </w:pPr>
      <w:proofErr w:type="spellStart"/>
      <w:r>
        <w:rPr>
          <w:b/>
        </w:rPr>
        <w:t>Thermocycle</w:t>
      </w:r>
      <w:proofErr w:type="spellEnd"/>
      <w:r>
        <w:rPr>
          <w:b/>
        </w:rPr>
        <w:t xml:space="preserve"> of</w:t>
      </w:r>
      <w:r w:rsidR="00557A50" w:rsidRPr="00D53543">
        <w:rPr>
          <w:b/>
        </w:rPr>
        <w:t xml:space="preserve"> PCR reaction </w:t>
      </w:r>
    </w:p>
    <w:p w:rsidR="00557A50" w:rsidRPr="005A228B" w:rsidRDefault="00557A50" w:rsidP="00557A50">
      <w:pPr>
        <w:pStyle w:val="ListParagraph"/>
        <w:numPr>
          <w:ilvl w:val="1"/>
          <w:numId w:val="2"/>
        </w:numPr>
      </w:pPr>
      <w:r w:rsidRPr="005A228B">
        <w:t>Initial step:  95 ⁰C 10 min</w:t>
      </w:r>
    </w:p>
    <w:p w:rsidR="00557A50" w:rsidRPr="005A228B" w:rsidRDefault="00557A50" w:rsidP="00557A50">
      <w:pPr>
        <w:pStyle w:val="ListParagraph"/>
        <w:numPr>
          <w:ilvl w:val="1"/>
          <w:numId w:val="2"/>
        </w:numPr>
      </w:pPr>
      <w:r w:rsidRPr="005A228B">
        <w:t>Cycling step: 95 ⁰C for 15 sec, 55-65 ⁰C for 60 sec for 40 cycles</w:t>
      </w:r>
    </w:p>
    <w:p w:rsidR="00557A50" w:rsidRPr="005A228B" w:rsidRDefault="00557A50" w:rsidP="00557A50">
      <w:pPr>
        <w:pStyle w:val="ListParagraph"/>
        <w:numPr>
          <w:ilvl w:val="1"/>
          <w:numId w:val="2"/>
        </w:numPr>
      </w:pPr>
      <w:r>
        <w:t>72 ⁰C 5</w:t>
      </w:r>
      <w:r w:rsidRPr="005A228B">
        <w:t xml:space="preserve"> min</w:t>
      </w:r>
    </w:p>
    <w:p w:rsidR="00385F14" w:rsidRDefault="00557A50" w:rsidP="00557A50">
      <w:pPr>
        <w:pStyle w:val="ListParagraph"/>
        <w:numPr>
          <w:ilvl w:val="1"/>
          <w:numId w:val="2"/>
        </w:numPr>
      </w:pPr>
      <w:r w:rsidRPr="005A228B">
        <w:t>4 ⁰C hold</w:t>
      </w:r>
    </w:p>
    <w:p w:rsidR="00385F14" w:rsidRPr="00623E61" w:rsidRDefault="00385F14" w:rsidP="00385F14">
      <w:pPr>
        <w:pStyle w:val="ListParagraph"/>
        <w:numPr>
          <w:ilvl w:val="0"/>
          <w:numId w:val="6"/>
        </w:numPr>
        <w:rPr>
          <w:b/>
        </w:rPr>
      </w:pPr>
      <w:r w:rsidRPr="00623E61">
        <w:rPr>
          <w:b/>
        </w:rPr>
        <w:t>Useful Tips:</w:t>
      </w:r>
    </w:p>
    <w:p w:rsidR="00F57826" w:rsidRDefault="00385F14" w:rsidP="00385F14">
      <w:pPr>
        <w:pStyle w:val="ListParagraph"/>
        <w:numPr>
          <w:ilvl w:val="0"/>
          <w:numId w:val="10"/>
        </w:numPr>
      </w:pPr>
      <w:r>
        <w:t>Th</w:t>
      </w:r>
      <w:r w:rsidR="00784A84">
        <w:t>e annealing temperature in</w:t>
      </w:r>
      <w:r>
        <w:t xml:space="preserve"> </w:t>
      </w:r>
      <w:r w:rsidR="00784A84">
        <w:t xml:space="preserve">this </w:t>
      </w:r>
      <w:r>
        <w:t>PCR protocol may be modified dependent on customer’s specific primer and target sequence.</w:t>
      </w:r>
    </w:p>
    <w:p w:rsidR="00557A50" w:rsidRPr="00D53543" w:rsidRDefault="00557A50" w:rsidP="00557A50">
      <w:pPr>
        <w:rPr>
          <w:rFonts w:eastAsiaTheme="minorEastAsia"/>
          <w:b/>
          <w:sz w:val="28"/>
          <w:szCs w:val="28"/>
          <w:lang w:eastAsia="zh-CN"/>
        </w:rPr>
      </w:pPr>
      <w:r w:rsidRPr="00D53543">
        <w:rPr>
          <w:rFonts w:eastAsiaTheme="minorEastAsia"/>
          <w:b/>
          <w:sz w:val="28"/>
          <w:szCs w:val="28"/>
          <w:lang w:eastAsia="zh-CN"/>
        </w:rPr>
        <w:t>Gel running and imaging:</w:t>
      </w:r>
    </w:p>
    <w:p w:rsidR="00557A50" w:rsidRPr="005A228B" w:rsidRDefault="00557A50" w:rsidP="00557A50">
      <w:pPr>
        <w:pStyle w:val="ListParagraph"/>
        <w:numPr>
          <w:ilvl w:val="0"/>
          <w:numId w:val="3"/>
        </w:numPr>
      </w:pPr>
      <w:r w:rsidRPr="005A228B">
        <w:t>Load 5</w:t>
      </w:r>
      <w:r w:rsidR="00A31996">
        <w:t>-10</w:t>
      </w:r>
      <w:r w:rsidRPr="005A228B">
        <w:t xml:space="preserve"> µl DNA ladder</w:t>
      </w:r>
      <w:r w:rsidR="00A31996">
        <w:t xml:space="preserve"> or</w:t>
      </w:r>
      <w:r>
        <w:t xml:space="preserve"> </w:t>
      </w:r>
      <w:r w:rsidR="00A31996">
        <w:t>5-15 µl PCR product to</w:t>
      </w:r>
      <w:r w:rsidRPr="005A228B">
        <w:t xml:space="preserve"> gel well</w:t>
      </w:r>
      <w:r w:rsidR="00A31996">
        <w:t>s</w:t>
      </w:r>
      <w:r w:rsidR="00B55E17">
        <w:t>.</w:t>
      </w:r>
    </w:p>
    <w:p w:rsidR="00557A50" w:rsidRPr="005A228B" w:rsidRDefault="00557A50" w:rsidP="00557A50">
      <w:pPr>
        <w:pStyle w:val="ListParagraph"/>
        <w:numPr>
          <w:ilvl w:val="0"/>
          <w:numId w:val="3"/>
        </w:numPr>
      </w:pPr>
      <w:r w:rsidRPr="005A228B">
        <w:t>Run gel at 10-20 V/cm for 15-45 minutes</w:t>
      </w:r>
      <w:r w:rsidR="00B55E17">
        <w:t>.</w:t>
      </w:r>
    </w:p>
    <w:p w:rsidR="00557A50" w:rsidRDefault="00557A50" w:rsidP="00784A84">
      <w:pPr>
        <w:pStyle w:val="ListParagraph"/>
        <w:numPr>
          <w:ilvl w:val="0"/>
          <w:numId w:val="3"/>
        </w:numPr>
      </w:pPr>
      <w:r w:rsidRPr="005A228B">
        <w:t>Take picture</w:t>
      </w:r>
      <w:r w:rsidR="00AF07A7">
        <w:t xml:space="preserve"> under UV light in</w:t>
      </w:r>
      <w:r w:rsidR="00B55E17">
        <w:t xml:space="preserve"> your imaging system.</w:t>
      </w:r>
    </w:p>
    <w:p w:rsidR="00557A50" w:rsidRDefault="00557A50" w:rsidP="00557A50">
      <w:pPr>
        <w:pStyle w:val="ListParagraph"/>
        <w:numPr>
          <w:ilvl w:val="0"/>
          <w:numId w:val="6"/>
        </w:numPr>
        <w:rPr>
          <w:b/>
        </w:rPr>
      </w:pPr>
      <w:r w:rsidRPr="00623E61">
        <w:rPr>
          <w:b/>
        </w:rPr>
        <w:t>Useful Tips:</w:t>
      </w:r>
    </w:p>
    <w:p w:rsidR="00557A50" w:rsidRDefault="00557A50" w:rsidP="00557A50">
      <w:pPr>
        <w:pStyle w:val="ListParagraph"/>
        <w:numPr>
          <w:ilvl w:val="0"/>
          <w:numId w:val="7"/>
        </w:numPr>
      </w:pPr>
      <w:r>
        <w:t>No additional loading buffer needed</w:t>
      </w:r>
      <w:r w:rsidR="00B55E17">
        <w:t>.</w:t>
      </w:r>
    </w:p>
    <w:p w:rsidR="00B55E17" w:rsidRDefault="00557A50" w:rsidP="00B55E17">
      <w:pPr>
        <w:pStyle w:val="ListParagraph"/>
        <w:numPr>
          <w:ilvl w:val="0"/>
          <w:numId w:val="7"/>
        </w:numPr>
      </w:pPr>
      <w:r>
        <w:t xml:space="preserve">No </w:t>
      </w:r>
      <w:proofErr w:type="spellStart"/>
      <w:r>
        <w:t>Ethidium</w:t>
      </w:r>
      <w:proofErr w:type="spellEnd"/>
      <w:r>
        <w:t xml:space="preserve"> Bromide staining needed</w:t>
      </w:r>
      <w:r w:rsidR="00B55E17">
        <w:t>.</w:t>
      </w:r>
    </w:p>
    <w:p w:rsidR="00557A50" w:rsidRPr="00385F14" w:rsidRDefault="00B55E17" w:rsidP="00385F14">
      <w:pPr>
        <w:pStyle w:val="ListParagraph"/>
        <w:numPr>
          <w:ilvl w:val="0"/>
          <w:numId w:val="7"/>
        </w:numPr>
      </w:pPr>
      <w:r>
        <w:t xml:space="preserve">Alternatively, customer can use the melting temperature in </w:t>
      </w:r>
      <w:proofErr w:type="spellStart"/>
      <w:r>
        <w:t>realtime</w:t>
      </w:r>
      <w:proofErr w:type="spellEnd"/>
      <w:r>
        <w:t xml:space="preserve"> PCR to determine the genotype instead of run </w:t>
      </w:r>
      <w:proofErr w:type="spellStart"/>
      <w:r>
        <w:t>agarose</w:t>
      </w:r>
      <w:proofErr w:type="spellEnd"/>
      <w:r>
        <w:t xml:space="preserve"> gel.</w:t>
      </w:r>
    </w:p>
    <w:p w:rsidR="0089471A" w:rsidRPr="00623E61" w:rsidRDefault="0089471A" w:rsidP="0089471A">
      <w:pPr>
        <w:rPr>
          <w:rFonts w:eastAsiaTheme="minorEastAsia"/>
          <w:b/>
          <w:sz w:val="28"/>
          <w:szCs w:val="28"/>
          <w:lang w:eastAsia="zh-CN"/>
        </w:rPr>
      </w:pPr>
      <w:r w:rsidRPr="00623E61">
        <w:rPr>
          <w:rFonts w:eastAsiaTheme="minorEastAsia"/>
          <w:b/>
          <w:sz w:val="28"/>
          <w:szCs w:val="28"/>
          <w:lang w:eastAsia="zh-CN"/>
        </w:rPr>
        <w:t>Kit component</w:t>
      </w:r>
    </w:p>
    <w:p w:rsidR="0089471A" w:rsidRPr="00385F14" w:rsidRDefault="0089471A" w:rsidP="0089471A">
      <w:pPr>
        <w:shd w:val="clear" w:color="auto" w:fill="FFFFFF"/>
        <w:ind w:left="720"/>
        <w:rPr>
          <w:rFonts w:eastAsiaTheme="minorEastAsia"/>
          <w:sz w:val="18"/>
          <w:szCs w:val="22"/>
          <w:lang w:eastAsia="zh-CN"/>
        </w:rPr>
      </w:pPr>
      <w:r w:rsidRPr="00385F14">
        <w:rPr>
          <w:rFonts w:eastAsiaTheme="minorEastAsia"/>
          <w:sz w:val="18"/>
          <w:szCs w:val="22"/>
          <w:lang w:eastAsia="zh-CN"/>
        </w:rPr>
        <w:t>DE DNA extraction buffer</w:t>
      </w:r>
    </w:p>
    <w:p w:rsidR="0089471A" w:rsidRPr="00385F14" w:rsidRDefault="0089471A" w:rsidP="0089471A">
      <w:pPr>
        <w:shd w:val="clear" w:color="auto" w:fill="FFFFFF"/>
        <w:ind w:left="720"/>
        <w:rPr>
          <w:rFonts w:eastAsiaTheme="minorEastAsia"/>
          <w:sz w:val="18"/>
          <w:szCs w:val="22"/>
          <w:lang w:eastAsia="zh-CN"/>
        </w:rPr>
      </w:pPr>
      <w:proofErr w:type="spellStart"/>
      <w:r w:rsidRPr="00385F14">
        <w:rPr>
          <w:rFonts w:eastAsiaTheme="minorEastAsia"/>
          <w:sz w:val="18"/>
          <w:szCs w:val="22"/>
          <w:lang w:eastAsia="zh-CN"/>
        </w:rPr>
        <w:t>GenoPCR</w:t>
      </w:r>
      <w:r w:rsidRPr="00385F14">
        <w:rPr>
          <w:rFonts w:eastAsiaTheme="minorEastAsia"/>
          <w:sz w:val="18"/>
          <w:szCs w:val="22"/>
          <w:vertAlign w:val="superscript"/>
          <w:lang w:eastAsia="zh-CN"/>
        </w:rPr>
        <w:t>TM</w:t>
      </w:r>
      <w:proofErr w:type="spellEnd"/>
      <w:r w:rsidRPr="00385F14">
        <w:rPr>
          <w:rFonts w:eastAsiaTheme="minorEastAsia"/>
          <w:sz w:val="18"/>
          <w:szCs w:val="22"/>
          <w:lang w:eastAsia="zh-CN"/>
        </w:rPr>
        <w:t xml:space="preserve"> 2X PCR master mix</w:t>
      </w:r>
    </w:p>
    <w:p w:rsidR="0089471A" w:rsidRPr="00385F14" w:rsidRDefault="0089471A" w:rsidP="0089471A">
      <w:pPr>
        <w:shd w:val="clear" w:color="auto" w:fill="FFFFFF"/>
        <w:ind w:left="720"/>
        <w:rPr>
          <w:rFonts w:eastAsiaTheme="minorEastAsia"/>
          <w:sz w:val="18"/>
          <w:szCs w:val="22"/>
          <w:lang w:eastAsia="zh-CN"/>
        </w:rPr>
      </w:pPr>
      <w:proofErr w:type="spellStart"/>
      <w:r w:rsidRPr="00385F14">
        <w:rPr>
          <w:rFonts w:ascii="Calibri" w:eastAsia="Times New Roman" w:hAnsi="Calibri" w:cs="Times New Roman"/>
          <w:bCs/>
          <w:color w:val="272727"/>
          <w:sz w:val="18"/>
        </w:rPr>
        <w:t>Prestained</w:t>
      </w:r>
      <w:proofErr w:type="spellEnd"/>
      <w:r w:rsidRPr="00385F14">
        <w:rPr>
          <w:rFonts w:ascii="Calibri" w:eastAsia="Times New Roman" w:hAnsi="Calibri" w:cs="Times New Roman"/>
          <w:bCs/>
          <w:color w:val="272727"/>
          <w:sz w:val="18"/>
        </w:rPr>
        <w:t xml:space="preserve"> 100 </w:t>
      </w:r>
      <w:proofErr w:type="spellStart"/>
      <w:r w:rsidRPr="00385F14">
        <w:rPr>
          <w:rFonts w:ascii="Calibri" w:eastAsia="Times New Roman" w:hAnsi="Calibri" w:cs="Times New Roman"/>
          <w:bCs/>
          <w:color w:val="272727"/>
          <w:sz w:val="18"/>
        </w:rPr>
        <w:t>bp</w:t>
      </w:r>
      <w:proofErr w:type="spellEnd"/>
      <w:r w:rsidRPr="00385F14">
        <w:rPr>
          <w:rFonts w:ascii="Calibri" w:eastAsia="Times New Roman" w:hAnsi="Calibri" w:cs="Times New Roman"/>
          <w:bCs/>
          <w:color w:val="272727"/>
          <w:sz w:val="18"/>
        </w:rPr>
        <w:t xml:space="preserve"> DNA ladder*</w:t>
      </w:r>
    </w:p>
    <w:tbl>
      <w:tblPr>
        <w:tblpPr w:leftFromText="180" w:rightFromText="180" w:vertAnchor="text" w:horzAnchor="page" w:tblpX="2989" w:tblpY="149"/>
        <w:tblW w:w="6948" w:type="dxa"/>
        <w:tblLayout w:type="fixed"/>
        <w:tblLook w:val="04A0"/>
      </w:tblPr>
      <w:tblGrid>
        <w:gridCol w:w="1530"/>
        <w:gridCol w:w="1548"/>
        <w:gridCol w:w="1530"/>
        <w:gridCol w:w="2340"/>
      </w:tblGrid>
      <w:tr w:rsidR="00385F14" w:rsidRPr="00385F14">
        <w:trPr>
          <w:trHeight w:val="439"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Cat #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784A84" w:rsidP="00385F14">
            <w:pPr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Kit size</w:t>
            </w:r>
            <w:r w:rsidR="00385F14" w:rsidRPr="00385F14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bCs/>
                <w:color w:val="272727"/>
                <w:sz w:val="18"/>
              </w:rPr>
            </w:pPr>
            <w:r w:rsidRPr="00385F14">
              <w:rPr>
                <w:rFonts w:ascii="Calibri" w:eastAsia="Times New Roman" w:hAnsi="Calibri" w:cs="Times New Roman"/>
                <w:bCs/>
                <w:color w:val="272727"/>
                <w:sz w:val="18"/>
              </w:rPr>
              <w:t xml:space="preserve">DE Buffer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2X PCR master mix</w:t>
            </w:r>
          </w:p>
        </w:tc>
      </w:tr>
      <w:tr w:rsidR="00385F14" w:rsidRPr="00385F14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GP200020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20 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1 ml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200 </w:t>
            </w:r>
            <w:proofErr w:type="spellStart"/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ul</w:t>
            </w:r>
            <w:proofErr w:type="spellEnd"/>
          </w:p>
        </w:tc>
      </w:tr>
      <w:tr w:rsidR="00385F14" w:rsidRPr="00385F14">
        <w:trPr>
          <w:trHeight w:val="330"/>
        </w:trPr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GP200100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100X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5 ml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1000 </w:t>
            </w:r>
            <w:proofErr w:type="spellStart"/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ul</w:t>
            </w:r>
            <w:proofErr w:type="spellEnd"/>
          </w:p>
        </w:tc>
      </w:tr>
      <w:tr w:rsidR="00385F14" w:rsidRPr="00385F14">
        <w:trPr>
          <w:trHeight w:val="330"/>
        </w:trPr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GP200200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200X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10 ml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2000 </w:t>
            </w:r>
            <w:proofErr w:type="spellStart"/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ul</w:t>
            </w:r>
            <w:proofErr w:type="spellEnd"/>
          </w:p>
        </w:tc>
      </w:tr>
      <w:tr w:rsidR="00385F14" w:rsidRPr="00385F14">
        <w:trPr>
          <w:trHeight w:val="330"/>
        </w:trPr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GP200500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Arial" w:eastAsia="Times New Roman" w:hAnsi="Arial" w:cs="Arial"/>
                <w:bCs/>
                <w:color w:val="272727"/>
                <w:sz w:val="18"/>
              </w:rPr>
            </w:pPr>
            <w:r w:rsidRPr="00385F14">
              <w:rPr>
                <w:rFonts w:ascii="Arial" w:eastAsia="Times New Roman" w:hAnsi="Arial" w:cs="Arial"/>
                <w:bCs/>
                <w:color w:val="272727"/>
                <w:sz w:val="18"/>
              </w:rPr>
              <w:t>500X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20 ml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5F14" w:rsidRPr="00385F14" w:rsidRDefault="00385F14" w:rsidP="00385F14">
            <w:pPr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5000 </w:t>
            </w:r>
            <w:proofErr w:type="spellStart"/>
            <w:r w:rsidRPr="00385F14">
              <w:rPr>
                <w:rFonts w:ascii="Calibri" w:eastAsia="Times New Roman" w:hAnsi="Calibri" w:cs="Times New Roman"/>
                <w:color w:val="000000"/>
                <w:sz w:val="18"/>
              </w:rPr>
              <w:t>ul</w:t>
            </w:r>
            <w:proofErr w:type="spellEnd"/>
          </w:p>
        </w:tc>
      </w:tr>
    </w:tbl>
    <w:p w:rsidR="0089471A" w:rsidRPr="00385F14" w:rsidRDefault="0089471A" w:rsidP="0089471A">
      <w:pPr>
        <w:shd w:val="clear" w:color="auto" w:fill="FFFFFF"/>
        <w:rPr>
          <w:rFonts w:eastAsiaTheme="minorEastAsia"/>
          <w:sz w:val="18"/>
          <w:szCs w:val="22"/>
          <w:lang w:eastAsia="zh-CN"/>
        </w:rPr>
      </w:pPr>
    </w:p>
    <w:p w:rsidR="002A2DEA" w:rsidRDefault="002A2DEA" w:rsidP="00385F14">
      <w:pPr>
        <w:rPr>
          <w:rFonts w:ascii="Adobe Hebrew" w:hAnsi="Adobe Hebrew"/>
        </w:rPr>
      </w:pPr>
    </w:p>
    <w:p w:rsidR="002A2DEA" w:rsidRDefault="002A2DEA" w:rsidP="00385F14">
      <w:pPr>
        <w:rPr>
          <w:rFonts w:ascii="Adobe Hebrew" w:hAnsi="Adobe Hebrew"/>
        </w:rPr>
      </w:pPr>
    </w:p>
    <w:p w:rsidR="002A2DEA" w:rsidRDefault="002A2DEA" w:rsidP="00385F14">
      <w:pPr>
        <w:rPr>
          <w:rFonts w:ascii="Adobe Hebrew" w:hAnsi="Adobe Hebrew"/>
        </w:rPr>
      </w:pPr>
    </w:p>
    <w:p w:rsidR="002A2DEA" w:rsidRDefault="002A2DEA" w:rsidP="00385F14">
      <w:pPr>
        <w:rPr>
          <w:rFonts w:ascii="Adobe Hebrew" w:hAnsi="Adobe Hebrew"/>
        </w:rPr>
      </w:pPr>
    </w:p>
    <w:p w:rsidR="002A2DEA" w:rsidRDefault="002A2DEA" w:rsidP="00385F14">
      <w:pPr>
        <w:rPr>
          <w:rFonts w:ascii="Adobe Hebrew" w:hAnsi="Adobe Hebrew"/>
        </w:rPr>
      </w:pPr>
    </w:p>
    <w:p w:rsidR="002A2DEA" w:rsidRDefault="002A2DEA" w:rsidP="002A2DEA">
      <w:pPr>
        <w:rPr>
          <w:rFonts w:eastAsiaTheme="minorEastAsia"/>
          <w:b/>
          <w:sz w:val="28"/>
          <w:szCs w:val="28"/>
          <w:lang w:eastAsia="zh-CN"/>
        </w:rPr>
      </w:pPr>
    </w:p>
    <w:p w:rsidR="00784A84" w:rsidRDefault="00784A84" w:rsidP="002A2DEA">
      <w:pPr>
        <w:rPr>
          <w:rFonts w:eastAsiaTheme="minorEastAsia"/>
          <w:b/>
          <w:sz w:val="28"/>
          <w:szCs w:val="28"/>
          <w:lang w:eastAsia="zh-CN"/>
        </w:rPr>
      </w:pPr>
    </w:p>
    <w:p w:rsidR="00143EC8" w:rsidRDefault="00143EC8" w:rsidP="00143EC8">
      <w:pPr>
        <w:rPr>
          <w:rFonts w:eastAsiaTheme="minorEastAsia"/>
          <w:sz w:val="20"/>
          <w:szCs w:val="22"/>
          <w:lang w:eastAsia="zh-CN"/>
        </w:rPr>
      </w:pPr>
      <w:r>
        <w:rPr>
          <w:rFonts w:eastAsiaTheme="minorEastAsia"/>
          <w:b/>
          <w:sz w:val="28"/>
          <w:szCs w:val="28"/>
          <w:lang w:eastAsia="zh-CN"/>
        </w:rPr>
        <w:t xml:space="preserve">Product </w:t>
      </w:r>
      <w:r w:rsidR="002A2DEA" w:rsidRPr="00143EC8">
        <w:rPr>
          <w:rFonts w:eastAsiaTheme="minorEastAsia"/>
          <w:b/>
          <w:sz w:val="28"/>
          <w:szCs w:val="28"/>
          <w:lang w:eastAsia="zh-CN"/>
        </w:rPr>
        <w:t>Storage Condition</w:t>
      </w:r>
      <w:r>
        <w:rPr>
          <w:rFonts w:eastAsiaTheme="minorEastAsia"/>
          <w:sz w:val="20"/>
          <w:szCs w:val="22"/>
          <w:lang w:eastAsia="zh-CN"/>
        </w:rPr>
        <w:t xml:space="preserve">: </w:t>
      </w:r>
    </w:p>
    <w:p w:rsidR="00143EC8" w:rsidRDefault="002A2DEA" w:rsidP="00143EC8">
      <w:pPr>
        <w:ind w:left="720"/>
        <w:rPr>
          <w:rFonts w:eastAsiaTheme="minorEastAsia"/>
          <w:sz w:val="20"/>
          <w:szCs w:val="22"/>
          <w:lang w:eastAsia="zh-CN"/>
        </w:rPr>
      </w:pPr>
      <w:proofErr w:type="gramStart"/>
      <w:r w:rsidRPr="0089471A">
        <w:rPr>
          <w:rFonts w:eastAsiaTheme="minorEastAsia"/>
          <w:sz w:val="20"/>
          <w:szCs w:val="22"/>
          <w:lang w:eastAsia="zh-CN"/>
        </w:rPr>
        <w:t xml:space="preserve">2X PCR master mix at -20 </w:t>
      </w:r>
      <w:r w:rsidRPr="0089471A">
        <w:rPr>
          <w:rFonts w:eastAsiaTheme="minorEastAsia"/>
          <w:sz w:val="20"/>
          <w:szCs w:val="22"/>
          <w:vertAlign w:val="superscript"/>
          <w:lang w:eastAsia="zh-CN"/>
        </w:rPr>
        <w:t>0</w:t>
      </w:r>
      <w:r w:rsidRPr="0089471A">
        <w:rPr>
          <w:rFonts w:eastAsiaTheme="minorEastAsia"/>
          <w:sz w:val="20"/>
          <w:szCs w:val="22"/>
          <w:lang w:eastAsia="zh-CN"/>
        </w:rPr>
        <w:t>C, DE buffer at room temperature in dark.</w:t>
      </w:r>
      <w:proofErr w:type="gramEnd"/>
    </w:p>
    <w:p w:rsidR="00143EC8" w:rsidRPr="0089471A" w:rsidRDefault="00143EC8" w:rsidP="00143EC8">
      <w:pPr>
        <w:shd w:val="clear" w:color="auto" w:fill="FFFFFF"/>
        <w:ind w:left="720"/>
        <w:rPr>
          <w:rFonts w:eastAsiaTheme="minorEastAsia"/>
          <w:sz w:val="20"/>
          <w:szCs w:val="22"/>
          <w:lang w:eastAsia="zh-CN"/>
        </w:rPr>
      </w:pPr>
      <w:r w:rsidRPr="0089471A">
        <w:rPr>
          <w:rFonts w:eastAsiaTheme="minorEastAsia"/>
          <w:sz w:val="20"/>
          <w:szCs w:val="22"/>
          <w:lang w:eastAsia="zh-CN"/>
        </w:rPr>
        <w:t>Shipping Condition: Blue Ice or Dry Ice</w:t>
      </w:r>
    </w:p>
    <w:p w:rsidR="002A2DEA" w:rsidRPr="00784A84" w:rsidRDefault="002A2DEA" w:rsidP="00784A84">
      <w:pPr>
        <w:shd w:val="clear" w:color="auto" w:fill="FFFFFF"/>
        <w:ind w:left="720"/>
        <w:rPr>
          <w:rFonts w:eastAsiaTheme="minorEastAsia"/>
          <w:sz w:val="20"/>
          <w:szCs w:val="22"/>
          <w:lang w:eastAsia="zh-CN"/>
        </w:rPr>
      </w:pPr>
    </w:p>
    <w:p w:rsidR="00143EC8" w:rsidRDefault="00143EC8" w:rsidP="00385F14">
      <w:pPr>
        <w:rPr>
          <w:rFonts w:ascii="Adobe Hebrew" w:hAnsi="Adobe Hebrew"/>
        </w:rPr>
      </w:pPr>
    </w:p>
    <w:p w:rsidR="00557A50" w:rsidRPr="005E321A" w:rsidRDefault="00557A50" w:rsidP="00557A50">
      <w:pPr>
        <w:rPr>
          <w:rFonts w:ascii="Adobe Hebrew" w:hAnsi="Adobe Hebrew"/>
        </w:rPr>
      </w:pPr>
    </w:p>
    <w:p w:rsidR="00462C09" w:rsidRPr="00462C09" w:rsidRDefault="00462C09" w:rsidP="00462C09">
      <w:pPr>
        <w:rPr>
          <w:rFonts w:eastAsiaTheme="minorEastAsia"/>
          <w:b/>
          <w:sz w:val="28"/>
          <w:szCs w:val="28"/>
          <w:lang w:eastAsia="zh-CN"/>
        </w:rPr>
      </w:pPr>
      <w:r w:rsidRPr="00462C09">
        <w:rPr>
          <w:rFonts w:eastAsiaTheme="minorEastAsia"/>
          <w:b/>
          <w:sz w:val="28"/>
          <w:szCs w:val="28"/>
          <w:lang w:eastAsia="zh-CN"/>
        </w:rPr>
        <w:t xml:space="preserve">Technical Support </w:t>
      </w:r>
      <w:r w:rsidR="001A5C4B">
        <w:rPr>
          <w:rFonts w:eastAsiaTheme="minorEastAsia"/>
          <w:b/>
          <w:sz w:val="28"/>
          <w:szCs w:val="28"/>
          <w:lang w:eastAsia="zh-CN"/>
        </w:rPr>
        <w:t xml:space="preserve">and order </w:t>
      </w:r>
      <w:r w:rsidRPr="00462C09">
        <w:rPr>
          <w:rFonts w:eastAsiaTheme="minorEastAsia"/>
          <w:b/>
          <w:sz w:val="28"/>
          <w:szCs w:val="28"/>
          <w:lang w:eastAsia="zh-CN"/>
        </w:rPr>
        <w:t>Information</w:t>
      </w:r>
    </w:p>
    <w:p w:rsidR="00462C09" w:rsidRDefault="00462C09" w:rsidP="00462C09">
      <w:r>
        <w:t>For more information a</w:t>
      </w:r>
      <w:r w:rsidR="001A5C4B">
        <w:t xml:space="preserve">bout </w:t>
      </w:r>
      <w:proofErr w:type="spellStart"/>
      <w:r w:rsidR="001A5C4B">
        <w:t>Harborgen</w:t>
      </w:r>
      <w:proofErr w:type="spellEnd"/>
      <w:r>
        <w:t xml:space="preserve"> products and to download manuals in PDF format, please visit our web site:</w:t>
      </w:r>
    </w:p>
    <w:p w:rsidR="00462C09" w:rsidRDefault="001A5C4B" w:rsidP="00462C09">
      <w:r>
        <w:t>http://www.Harborgen</w:t>
      </w:r>
      <w:r w:rsidR="00462C09">
        <w:t>.com</w:t>
      </w:r>
    </w:p>
    <w:p w:rsidR="00462C09" w:rsidRDefault="00462C09" w:rsidP="00462C09">
      <w:r>
        <w:t>For additional information or technical assistance, please call or email us at:</w:t>
      </w:r>
    </w:p>
    <w:p w:rsidR="001A5C4B" w:rsidRDefault="001A5C4B" w:rsidP="00462C09">
      <w:proofErr w:type="spellStart"/>
      <w:r>
        <w:t>Harborgen</w:t>
      </w:r>
      <w:proofErr w:type="spellEnd"/>
      <w:r>
        <w:t xml:space="preserve"> Biotechnology</w:t>
      </w:r>
    </w:p>
    <w:p w:rsidR="001A5C4B" w:rsidRDefault="001A5C4B" w:rsidP="001A5C4B">
      <w:r w:rsidRPr="001A5C4B">
        <w:t xml:space="preserve">4539 Metropolitan Court, </w:t>
      </w:r>
    </w:p>
    <w:p w:rsidR="001A5C4B" w:rsidRDefault="001A5C4B" w:rsidP="001A5C4B">
      <w:r w:rsidRPr="001A5C4B">
        <w:t xml:space="preserve">Frederick, MD 21704 </w:t>
      </w:r>
    </w:p>
    <w:p w:rsidR="001A5C4B" w:rsidRDefault="001A5C4B" w:rsidP="001A5C4B">
      <w:r w:rsidRPr="001A5C4B">
        <w:t xml:space="preserve">Phone: (301) 694-2999 </w:t>
      </w:r>
    </w:p>
    <w:p w:rsidR="00462C09" w:rsidRDefault="001A5C4B" w:rsidP="00462C09">
      <w:r w:rsidRPr="001A5C4B">
        <w:t xml:space="preserve">Fax: (301) 360-3554 </w:t>
      </w:r>
    </w:p>
    <w:p w:rsidR="00462C09" w:rsidRDefault="00462C09" w:rsidP="00462C09">
      <w:r>
        <w:t>Gen</w:t>
      </w:r>
      <w:r w:rsidR="001A5C4B">
        <w:t>eral Information: info@harborgen</w:t>
      </w:r>
      <w:r>
        <w:t>.com</w:t>
      </w:r>
    </w:p>
    <w:p w:rsidR="00462C09" w:rsidRDefault="00462C09" w:rsidP="00462C09">
      <w:r>
        <w:t>T</w:t>
      </w:r>
      <w:r w:rsidR="001A5C4B">
        <w:t>echnical Support: tech@harborgen</w:t>
      </w:r>
      <w:r>
        <w:t>.com</w:t>
      </w:r>
    </w:p>
    <w:p w:rsidR="00F57826" w:rsidRDefault="00462C09" w:rsidP="00462C09">
      <w:r>
        <w:t xml:space="preserve">Ordering Information: </w:t>
      </w:r>
      <w:hyperlink r:id="rId8" w:history="1">
        <w:r w:rsidR="001A5C4B">
          <w:rPr>
            <w:rStyle w:val="Hyperlink"/>
          </w:rPr>
          <w:t>orders@harborgen</w:t>
        </w:r>
        <w:r w:rsidR="00F57826" w:rsidRPr="0042551E">
          <w:rPr>
            <w:rStyle w:val="Hyperlink"/>
          </w:rPr>
          <w:t>.com</w:t>
        </w:r>
      </w:hyperlink>
    </w:p>
    <w:p w:rsidR="00F57826" w:rsidRDefault="00F57826" w:rsidP="00462C09"/>
    <w:p w:rsidR="00E50100" w:rsidRPr="004864AE" w:rsidRDefault="00E50100" w:rsidP="00E50100">
      <w:pPr>
        <w:shd w:val="clear" w:color="auto" w:fill="FFFFFF"/>
        <w:rPr>
          <w:rFonts w:eastAsiaTheme="minorEastAsia"/>
          <w:sz w:val="22"/>
          <w:szCs w:val="22"/>
          <w:lang w:eastAsia="zh-CN"/>
        </w:rPr>
      </w:pPr>
    </w:p>
    <w:p w:rsidR="00557A50" w:rsidRDefault="00557A50" w:rsidP="00462C09"/>
    <w:sectPr w:rsidR="00557A50" w:rsidSect="00557A50">
      <w:footerReference w:type="defaul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dobe Hebrew">
    <w:panose1 w:val="02040503050201020203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30486"/>
      <w:docPartObj>
        <w:docPartGallery w:val="Page Numbers (Bottom of Page)"/>
        <w:docPartUnique/>
      </w:docPartObj>
    </w:sdtPr>
    <w:sdtContent>
      <w:p w:rsidR="008854E2" w:rsidRPr="00143EC8" w:rsidRDefault="008854E2" w:rsidP="00143EC8">
        <w:pPr>
          <w:jc w:val="center"/>
          <w:rPr>
            <w:rFonts w:ascii="Adobe Hebrew" w:hAnsi="Adobe Hebrew"/>
            <w:b/>
            <w:sz w:val="16"/>
            <w:szCs w:val="19"/>
          </w:rPr>
        </w:pPr>
        <w:proofErr w:type="spellStart"/>
        <w:r w:rsidRPr="00143EC8">
          <w:rPr>
            <w:rFonts w:ascii="Adobe Hebrew" w:hAnsi="Adobe Hebrew"/>
            <w:b/>
            <w:sz w:val="16"/>
            <w:szCs w:val="19"/>
          </w:rPr>
          <w:t>Harborgen</w:t>
        </w:r>
        <w:proofErr w:type="spellEnd"/>
        <w:r w:rsidRPr="00143EC8">
          <w:rPr>
            <w:rFonts w:ascii="Adobe Hebrew" w:hAnsi="Adobe Hebrew"/>
            <w:b/>
            <w:sz w:val="16"/>
            <w:szCs w:val="19"/>
          </w:rPr>
          <w:t xml:space="preserve"> Biotechnology Company</w:t>
        </w:r>
      </w:p>
      <w:p w:rsidR="008854E2" w:rsidRPr="00143EC8" w:rsidRDefault="008854E2" w:rsidP="00143EC8">
        <w:pPr>
          <w:jc w:val="center"/>
          <w:rPr>
            <w:rFonts w:ascii="Adobe Hebrew" w:hAnsi="Adobe Hebrew"/>
            <w:sz w:val="16"/>
            <w:szCs w:val="20"/>
          </w:rPr>
        </w:pPr>
        <w:r w:rsidRPr="00143EC8">
          <w:rPr>
            <w:rFonts w:ascii="Adobe Hebrew" w:hAnsi="Adobe Hebrew"/>
            <w:sz w:val="16"/>
            <w:szCs w:val="19"/>
          </w:rPr>
          <w:t xml:space="preserve">4539 Metropolitan Court, Frederick, MD 21704 </w:t>
        </w:r>
        <w:r w:rsidRPr="00143EC8">
          <w:rPr>
            <w:rFonts w:ascii="Adobe Hebrew" w:hAnsi="Adobe Hebrew"/>
            <w:b/>
            <w:sz w:val="16"/>
          </w:rPr>
          <w:t>Phone:</w:t>
        </w:r>
        <w:r w:rsidRPr="00143EC8">
          <w:rPr>
            <w:rFonts w:ascii="Adobe Hebrew" w:hAnsi="Adobe Hebrew"/>
            <w:sz w:val="16"/>
          </w:rPr>
          <w:t> </w:t>
        </w:r>
        <w:r w:rsidRPr="00143EC8">
          <w:rPr>
            <w:rFonts w:ascii="Adobe Hebrew" w:hAnsi="Adobe Hebrew"/>
            <w:sz w:val="16"/>
            <w:szCs w:val="19"/>
          </w:rPr>
          <w:t xml:space="preserve">(240) 595-2652 </w:t>
        </w:r>
        <w:r w:rsidRPr="00143EC8">
          <w:rPr>
            <w:rFonts w:ascii="Adobe Hebrew" w:hAnsi="Adobe Hebrew"/>
            <w:b/>
            <w:sz w:val="16"/>
          </w:rPr>
          <w:t>Fax:</w:t>
        </w:r>
        <w:r w:rsidRPr="00143EC8">
          <w:rPr>
            <w:rFonts w:ascii="Adobe Hebrew" w:hAnsi="Adobe Hebrew"/>
            <w:sz w:val="16"/>
          </w:rPr>
          <w:t> </w:t>
        </w:r>
        <w:r w:rsidRPr="00143EC8">
          <w:rPr>
            <w:rFonts w:ascii="Adobe Hebrew" w:hAnsi="Adobe Hebrew"/>
            <w:sz w:val="16"/>
            <w:szCs w:val="19"/>
          </w:rPr>
          <w:t xml:space="preserve">(240) 751-9488 </w:t>
        </w:r>
        <w:r w:rsidRPr="00143EC8">
          <w:rPr>
            <w:rFonts w:ascii="Adobe Hebrew" w:hAnsi="Adobe Hebrew"/>
            <w:b/>
            <w:sz w:val="16"/>
          </w:rPr>
          <w:t>Email:</w:t>
        </w:r>
        <w:r w:rsidRPr="00143EC8">
          <w:rPr>
            <w:rFonts w:ascii="Adobe Hebrew" w:hAnsi="Adobe Hebrew"/>
            <w:sz w:val="16"/>
          </w:rPr>
          <w:t> </w:t>
        </w:r>
        <w:r w:rsidRPr="00143EC8">
          <w:rPr>
            <w:rFonts w:ascii="Adobe Hebrew" w:hAnsi="Adobe Hebrew"/>
            <w:sz w:val="16"/>
            <w:szCs w:val="19"/>
          </w:rPr>
          <w:t>order@harborgen.com</w:t>
        </w:r>
      </w:p>
      <w:p w:rsidR="008854E2" w:rsidRDefault="005A36BF">
        <w:pPr>
          <w:pStyle w:val="Footer"/>
          <w:jc w:val="center"/>
        </w:pPr>
      </w:p>
    </w:sdtContent>
  </w:sdt>
  <w:p w:rsidR="008854E2" w:rsidRDefault="008854E2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40BA"/>
    <w:multiLevelType w:val="hybridMultilevel"/>
    <w:tmpl w:val="C2BC2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E5C2922"/>
    <w:multiLevelType w:val="hybridMultilevel"/>
    <w:tmpl w:val="5A9A49B2"/>
    <w:lvl w:ilvl="0" w:tplc="040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>
    <w:nsid w:val="3A33652A"/>
    <w:multiLevelType w:val="hybridMultilevel"/>
    <w:tmpl w:val="902C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3E5"/>
    <w:multiLevelType w:val="hybridMultilevel"/>
    <w:tmpl w:val="E4A4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C4D64"/>
    <w:multiLevelType w:val="hybridMultilevel"/>
    <w:tmpl w:val="92B23200"/>
    <w:lvl w:ilvl="0" w:tplc="0409000F">
      <w:start w:val="1"/>
      <w:numFmt w:val="decimal"/>
      <w:lvlText w:val="%1."/>
      <w:lvlJc w:val="left"/>
      <w:pPr>
        <w:ind w:left="1390" w:hanging="360"/>
      </w:pPr>
    </w:lvl>
    <w:lvl w:ilvl="1" w:tplc="04090019" w:tentative="1">
      <w:start w:val="1"/>
      <w:numFmt w:val="lowerLetter"/>
      <w:lvlText w:val="%2."/>
      <w:lvlJc w:val="left"/>
      <w:pPr>
        <w:ind w:left="2110" w:hanging="360"/>
      </w:pPr>
    </w:lvl>
    <w:lvl w:ilvl="2" w:tplc="0409001B" w:tentative="1">
      <w:start w:val="1"/>
      <w:numFmt w:val="lowerRoman"/>
      <w:lvlText w:val="%3."/>
      <w:lvlJc w:val="right"/>
      <w:pPr>
        <w:ind w:left="2830" w:hanging="180"/>
      </w:pPr>
    </w:lvl>
    <w:lvl w:ilvl="3" w:tplc="0409000F" w:tentative="1">
      <w:start w:val="1"/>
      <w:numFmt w:val="decimal"/>
      <w:lvlText w:val="%4."/>
      <w:lvlJc w:val="left"/>
      <w:pPr>
        <w:ind w:left="3550" w:hanging="360"/>
      </w:pPr>
    </w:lvl>
    <w:lvl w:ilvl="4" w:tplc="04090019" w:tentative="1">
      <w:start w:val="1"/>
      <w:numFmt w:val="lowerLetter"/>
      <w:lvlText w:val="%5."/>
      <w:lvlJc w:val="left"/>
      <w:pPr>
        <w:ind w:left="4270" w:hanging="360"/>
      </w:pPr>
    </w:lvl>
    <w:lvl w:ilvl="5" w:tplc="0409001B" w:tentative="1">
      <w:start w:val="1"/>
      <w:numFmt w:val="lowerRoman"/>
      <w:lvlText w:val="%6."/>
      <w:lvlJc w:val="right"/>
      <w:pPr>
        <w:ind w:left="4990" w:hanging="180"/>
      </w:pPr>
    </w:lvl>
    <w:lvl w:ilvl="6" w:tplc="0409000F" w:tentative="1">
      <w:start w:val="1"/>
      <w:numFmt w:val="decimal"/>
      <w:lvlText w:val="%7."/>
      <w:lvlJc w:val="left"/>
      <w:pPr>
        <w:ind w:left="5710" w:hanging="360"/>
      </w:pPr>
    </w:lvl>
    <w:lvl w:ilvl="7" w:tplc="04090019" w:tentative="1">
      <w:start w:val="1"/>
      <w:numFmt w:val="lowerLetter"/>
      <w:lvlText w:val="%8."/>
      <w:lvlJc w:val="left"/>
      <w:pPr>
        <w:ind w:left="6430" w:hanging="360"/>
      </w:pPr>
    </w:lvl>
    <w:lvl w:ilvl="8" w:tplc="040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">
    <w:nsid w:val="43320B7B"/>
    <w:multiLevelType w:val="hybridMultilevel"/>
    <w:tmpl w:val="B6BCCC5C"/>
    <w:lvl w:ilvl="0" w:tplc="6A66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F6FA6"/>
    <w:multiLevelType w:val="hybridMultilevel"/>
    <w:tmpl w:val="5914D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974F78"/>
    <w:multiLevelType w:val="hybridMultilevel"/>
    <w:tmpl w:val="0CD0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4D6AC3"/>
    <w:multiLevelType w:val="hybridMultilevel"/>
    <w:tmpl w:val="0630B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EF343D"/>
    <w:multiLevelType w:val="hybridMultilevel"/>
    <w:tmpl w:val="7AFED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54E0B"/>
    <w:multiLevelType w:val="multilevel"/>
    <w:tmpl w:val="0CD0C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666F26"/>
    <w:multiLevelType w:val="hybridMultilevel"/>
    <w:tmpl w:val="126E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A50"/>
    <w:rsid w:val="00005CEA"/>
    <w:rsid w:val="0003331A"/>
    <w:rsid w:val="00052D06"/>
    <w:rsid w:val="000611B8"/>
    <w:rsid w:val="0011437B"/>
    <w:rsid w:val="00143EC8"/>
    <w:rsid w:val="001901B4"/>
    <w:rsid w:val="001A5C4B"/>
    <w:rsid w:val="001D2EDC"/>
    <w:rsid w:val="002A2DEA"/>
    <w:rsid w:val="002C3E70"/>
    <w:rsid w:val="00363987"/>
    <w:rsid w:val="00385F14"/>
    <w:rsid w:val="00462C09"/>
    <w:rsid w:val="004864AE"/>
    <w:rsid w:val="005012BB"/>
    <w:rsid w:val="005447E3"/>
    <w:rsid w:val="00556E30"/>
    <w:rsid w:val="00557A50"/>
    <w:rsid w:val="005A36BF"/>
    <w:rsid w:val="00720414"/>
    <w:rsid w:val="00765A61"/>
    <w:rsid w:val="00784A84"/>
    <w:rsid w:val="007D1236"/>
    <w:rsid w:val="007E6FFF"/>
    <w:rsid w:val="007F629C"/>
    <w:rsid w:val="008854E2"/>
    <w:rsid w:val="0089471A"/>
    <w:rsid w:val="009F62A6"/>
    <w:rsid w:val="00A176D6"/>
    <w:rsid w:val="00A31996"/>
    <w:rsid w:val="00A95436"/>
    <w:rsid w:val="00AF07A7"/>
    <w:rsid w:val="00AF0F99"/>
    <w:rsid w:val="00AF3350"/>
    <w:rsid w:val="00B55E17"/>
    <w:rsid w:val="00B84642"/>
    <w:rsid w:val="00BD5631"/>
    <w:rsid w:val="00C46642"/>
    <w:rsid w:val="00CE3C75"/>
    <w:rsid w:val="00D65BA0"/>
    <w:rsid w:val="00DB28F8"/>
    <w:rsid w:val="00DC736C"/>
    <w:rsid w:val="00DD6B63"/>
    <w:rsid w:val="00E50100"/>
    <w:rsid w:val="00F30B58"/>
    <w:rsid w:val="00F57826"/>
    <w:rsid w:val="00FD5963"/>
    <w:rsid w:val="00FF1FC9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57A50"/>
  </w:style>
  <w:style w:type="paragraph" w:styleId="Heading5">
    <w:name w:val="heading 5"/>
    <w:basedOn w:val="Normal"/>
    <w:link w:val="Heading5Char"/>
    <w:uiPriority w:val="9"/>
    <w:rsid w:val="00557A50"/>
    <w:pPr>
      <w:spacing w:beforeLines="1" w:afterLines="1"/>
      <w:outlineLvl w:val="4"/>
    </w:pPr>
    <w:rPr>
      <w:rFonts w:ascii="Times" w:hAnsi="Times"/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557A50"/>
  </w:style>
  <w:style w:type="paragraph" w:styleId="ListParagraph">
    <w:name w:val="List Paragraph"/>
    <w:basedOn w:val="Normal"/>
    <w:uiPriority w:val="34"/>
    <w:qFormat/>
    <w:rsid w:val="00557A50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57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A50"/>
  </w:style>
  <w:style w:type="paragraph" w:styleId="Footer">
    <w:name w:val="footer"/>
    <w:basedOn w:val="Normal"/>
    <w:link w:val="FooterChar"/>
    <w:uiPriority w:val="99"/>
    <w:unhideWhenUsed/>
    <w:rsid w:val="00557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A50"/>
  </w:style>
  <w:style w:type="paragraph" w:styleId="BalloonText">
    <w:name w:val="Balloon Text"/>
    <w:basedOn w:val="Normal"/>
    <w:link w:val="BalloonTextChar"/>
    <w:uiPriority w:val="99"/>
    <w:semiHidden/>
    <w:unhideWhenUsed/>
    <w:rsid w:val="00557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557A50"/>
    <w:rPr>
      <w:rFonts w:ascii="Times" w:hAnsi="Times"/>
      <w:b/>
      <w:sz w:val="20"/>
      <w:szCs w:val="20"/>
    </w:rPr>
  </w:style>
  <w:style w:type="paragraph" w:styleId="NormalWeb">
    <w:name w:val="Normal (Web)"/>
    <w:basedOn w:val="Normal"/>
    <w:uiPriority w:val="99"/>
    <w:rsid w:val="00557A5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F578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A5C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orders@systembio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586</Words>
  <Characters>3341</Characters>
  <Application>Microsoft Macintosh Word</Application>
  <DocSecurity>0</DocSecurity>
  <Lines>27</Lines>
  <Paragraphs>6</Paragraphs>
  <ScaleCrop>false</ScaleCrop>
  <Company>jhu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Lihua</dc:creator>
  <cp:keywords/>
  <cp:lastModifiedBy>Xu Lihua</cp:lastModifiedBy>
  <cp:revision>13</cp:revision>
  <dcterms:created xsi:type="dcterms:W3CDTF">2015-07-09T02:01:00Z</dcterms:created>
  <dcterms:modified xsi:type="dcterms:W3CDTF">2015-12-22T03:43:00Z</dcterms:modified>
</cp:coreProperties>
</file>